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63B" w14:textId="77777777" w:rsidR="004E1AD4" w:rsidRPr="00651B5D" w:rsidRDefault="004E1AD4">
      <w:pPr>
        <w:rPr>
          <w:rFonts w:cs="Times New Roman"/>
          <w:szCs w:val="24"/>
        </w:rPr>
      </w:pPr>
    </w:p>
    <w:p w14:paraId="3AC71DD2" w14:textId="77777777" w:rsidR="00E04474" w:rsidRPr="00651B5D" w:rsidRDefault="00E04474">
      <w:pPr>
        <w:rPr>
          <w:rFonts w:cs="Times New Roman"/>
          <w:szCs w:val="24"/>
        </w:rPr>
      </w:pPr>
    </w:p>
    <w:p w14:paraId="03CFD776" w14:textId="77777777" w:rsidR="00E04474" w:rsidRPr="00651B5D" w:rsidRDefault="00E04474">
      <w:pPr>
        <w:rPr>
          <w:rFonts w:cs="Times New Roman"/>
          <w:szCs w:val="24"/>
        </w:rPr>
      </w:pPr>
    </w:p>
    <w:p w14:paraId="578978FF" w14:textId="77777777" w:rsidR="007C2160" w:rsidRPr="00651B5D" w:rsidRDefault="007C216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4FF3B224" w14:textId="65A0CFD1" w:rsidR="001B17D4" w:rsidRPr="00651B5D" w:rsidRDefault="00A0713A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Article Critique: Educational Technologies</w:t>
      </w:r>
    </w:p>
    <w:p w14:paraId="5305F14F" w14:textId="77777777" w:rsidR="00382C6C" w:rsidRDefault="00382C6C" w:rsidP="001B17D4">
      <w:pPr>
        <w:pStyle w:val="BodyText"/>
        <w:spacing w:line="480" w:lineRule="auto"/>
        <w:ind w:right="30"/>
        <w:jc w:val="center"/>
        <w:rPr>
          <w:sz w:val="24"/>
          <w:szCs w:val="24"/>
          <w:highlight w:val="yellow"/>
        </w:rPr>
      </w:pPr>
    </w:p>
    <w:p w14:paraId="2607428F" w14:textId="73443BA7" w:rsidR="00C12D39" w:rsidRDefault="00A0713A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Bardine</w:t>
      </w:r>
      <w:proofErr w:type="spellEnd"/>
    </w:p>
    <w:p w14:paraId="7F914023" w14:textId="1B40D3CF" w:rsidR="001B17D4" w:rsidRPr="00651B5D" w:rsidRDefault="001B17D4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 w:rsidR="00A0713A"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025676E7" w14:textId="77777777" w:rsidR="00E04474" w:rsidRPr="00651B5D" w:rsidRDefault="00E04474">
      <w:pPr>
        <w:rPr>
          <w:rFonts w:cs="Times New Roman"/>
          <w:szCs w:val="24"/>
        </w:rPr>
      </w:pPr>
    </w:p>
    <w:p w14:paraId="4A1C3CE1" w14:textId="77777777" w:rsidR="00033212" w:rsidRPr="00651B5D" w:rsidRDefault="00033212">
      <w:pPr>
        <w:rPr>
          <w:rFonts w:cs="Times New Roman"/>
          <w:szCs w:val="24"/>
        </w:rPr>
      </w:pPr>
    </w:p>
    <w:p w14:paraId="38587016" w14:textId="77777777" w:rsidR="00033212" w:rsidRPr="00651B5D" w:rsidRDefault="00033212">
      <w:pPr>
        <w:rPr>
          <w:rFonts w:cs="Times New Roman"/>
          <w:szCs w:val="24"/>
        </w:rPr>
      </w:pPr>
    </w:p>
    <w:p w14:paraId="33D0DF7F" w14:textId="77777777" w:rsidR="007C2160" w:rsidRPr="00651B5D" w:rsidRDefault="007C2160">
      <w:pPr>
        <w:rPr>
          <w:rFonts w:cs="Times New Roman"/>
          <w:szCs w:val="24"/>
        </w:rPr>
      </w:pPr>
    </w:p>
    <w:p w14:paraId="6F1AED5D" w14:textId="77777777" w:rsidR="007C2160" w:rsidRPr="00651B5D" w:rsidRDefault="007C2160">
      <w:pPr>
        <w:rPr>
          <w:rFonts w:cs="Times New Roman"/>
          <w:szCs w:val="24"/>
        </w:rPr>
      </w:pPr>
    </w:p>
    <w:p w14:paraId="77110E01" w14:textId="77777777" w:rsidR="00E04474" w:rsidRPr="00651B5D" w:rsidRDefault="00E04474">
      <w:pPr>
        <w:rPr>
          <w:rFonts w:cs="Times New Roman"/>
          <w:szCs w:val="24"/>
        </w:rPr>
      </w:pPr>
    </w:p>
    <w:p w14:paraId="64533B11" w14:textId="77777777" w:rsidR="001B17D4" w:rsidRPr="00651B5D" w:rsidRDefault="001B17D4" w:rsidP="001B17D4">
      <w:pPr>
        <w:jc w:val="center"/>
        <w:rPr>
          <w:rFonts w:cs="Times New Roman"/>
          <w:b/>
          <w:bCs/>
          <w:szCs w:val="24"/>
        </w:rPr>
      </w:pPr>
      <w:r w:rsidRPr="00651B5D">
        <w:rPr>
          <w:rFonts w:cs="Times New Roman"/>
          <w:b/>
          <w:bCs/>
          <w:szCs w:val="24"/>
        </w:rPr>
        <w:t>Author Note</w:t>
      </w:r>
    </w:p>
    <w:p w14:paraId="680DDB02" w14:textId="49853156" w:rsidR="00C12D39" w:rsidRDefault="00A0713A" w:rsidP="001B17D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Christina </w:t>
      </w:r>
      <w:proofErr w:type="spellStart"/>
      <w:r>
        <w:rPr>
          <w:rFonts w:cs="Times New Roman"/>
          <w:szCs w:val="24"/>
        </w:rPr>
        <w:t>Bardine</w:t>
      </w:r>
      <w:proofErr w:type="spellEnd"/>
    </w:p>
    <w:p w14:paraId="7697C1C7" w14:textId="15C29B9E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>I have no known conflict of interest to disclose.</w:t>
      </w:r>
      <w:r w:rsidR="00C12D39">
        <w:rPr>
          <w:rFonts w:cs="Times New Roman"/>
          <w:szCs w:val="24"/>
        </w:rPr>
        <w:t xml:space="preserve"> </w:t>
      </w:r>
    </w:p>
    <w:p w14:paraId="36F1D845" w14:textId="45021236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Correspondence concerning this article should be addressed to </w:t>
      </w:r>
      <w:r w:rsidR="00A0713A">
        <w:rPr>
          <w:rFonts w:cs="Times New Roman"/>
          <w:szCs w:val="24"/>
        </w:rPr>
        <w:t xml:space="preserve">Christina </w:t>
      </w:r>
      <w:proofErr w:type="spellStart"/>
      <w:r w:rsidR="00A0713A">
        <w:rPr>
          <w:rFonts w:cs="Times New Roman"/>
          <w:szCs w:val="24"/>
        </w:rPr>
        <w:t>Bardine</w:t>
      </w:r>
      <w:proofErr w:type="spellEnd"/>
      <w:r w:rsidR="00A0713A">
        <w:rPr>
          <w:rFonts w:cs="Times New Roman"/>
          <w:szCs w:val="24"/>
        </w:rPr>
        <w:t>.</w:t>
      </w:r>
    </w:p>
    <w:p w14:paraId="770294F9" w14:textId="5D65594A" w:rsidR="001B17D4" w:rsidRPr="00651B5D" w:rsidRDefault="001B17D4" w:rsidP="001B17D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Email: </w:t>
      </w:r>
      <w:r w:rsidR="00A0713A">
        <w:t>cbardine@liberty.edu</w:t>
      </w:r>
    </w:p>
    <w:p w14:paraId="391A005B" w14:textId="77777777" w:rsidR="00877EF8" w:rsidRPr="00651B5D" w:rsidRDefault="00E0447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br w:type="page"/>
      </w:r>
    </w:p>
    <w:p w14:paraId="7A4B2EAB" w14:textId="43873815" w:rsidR="00EF61EA" w:rsidRPr="00A0713A" w:rsidRDefault="00EF61EA" w:rsidP="00A0713A">
      <w:pPr>
        <w:pStyle w:val="Heading1"/>
        <w:sectPr w:rsidR="00EF61EA" w:rsidRPr="00A0713A" w:rsidSect="00C12D3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0" w:gutter="0"/>
          <w:pgNumType w:start="1"/>
          <w:cols w:space="720"/>
          <w:docGrid w:linePitch="326"/>
        </w:sectPr>
      </w:pPr>
    </w:p>
    <w:p w14:paraId="314A5DD1" w14:textId="7D2653F8" w:rsidR="00EF61EA" w:rsidRPr="000A6112" w:rsidRDefault="00D971F4" w:rsidP="000A6112">
      <w:pPr>
        <w:pStyle w:val="BodyText"/>
        <w:spacing w:line="480" w:lineRule="auto"/>
        <w:jc w:val="center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lastRenderedPageBreak/>
        <w:fldChar w:fldCharType="begin"/>
      </w:r>
      <w:r>
        <w:rPr>
          <w:rFonts w:eastAsiaTheme="majorEastAsia"/>
          <w:b/>
          <w:bCs/>
          <w:sz w:val="24"/>
          <w:szCs w:val="28"/>
        </w:rPr>
        <w:instrText xml:space="preserve"> MACROBUTTON  AcceptAllChangesInDoc </w:instrText>
      </w:r>
      <w:r>
        <w:rPr>
          <w:rFonts w:eastAsiaTheme="majorEastAsia"/>
          <w:b/>
          <w:bCs/>
          <w:sz w:val="24"/>
          <w:szCs w:val="28"/>
        </w:rPr>
        <w:fldChar w:fldCharType="end"/>
      </w:r>
      <w:r w:rsidR="00A0713A">
        <w:rPr>
          <w:rFonts w:eastAsiaTheme="majorEastAsia"/>
          <w:b/>
          <w:bCs/>
          <w:sz w:val="24"/>
          <w:szCs w:val="28"/>
        </w:rPr>
        <w:t>Journal Article Critique</w:t>
      </w:r>
      <w:r w:rsidR="00AC3E1E">
        <w:rPr>
          <w:rFonts w:eastAsiaTheme="majorEastAsia"/>
          <w:b/>
          <w:bCs/>
          <w:sz w:val="24"/>
          <w:szCs w:val="28"/>
        </w:rPr>
        <w:t>: Educational Technologies</w:t>
      </w:r>
    </w:p>
    <w:p w14:paraId="58F3B4DE" w14:textId="56B5A386" w:rsidR="006D2F55" w:rsidRPr="00B959D1" w:rsidRDefault="00B959D1" w:rsidP="005239A6">
      <w:pPr>
        <w:ind w:firstLine="720"/>
      </w:pPr>
      <w:bookmarkStart w:id="0" w:name="_Toc529359668"/>
      <w:bookmarkStart w:id="1" w:name="_Toc529449460"/>
      <w:bookmarkStart w:id="2" w:name="_Toc31899674"/>
      <w:r w:rsidRPr="00B959D1">
        <w:t>Comparing the various articles</w:t>
      </w:r>
      <w:r>
        <w:t xml:space="preserve"> </w:t>
      </w:r>
      <w:r w:rsidR="00EE3856">
        <w:t xml:space="preserve">on educational technologies in the classroom can </w:t>
      </w:r>
      <w:r w:rsidR="00651473">
        <w:t xml:space="preserve">have a spectrum of reasons to implement or not implement. </w:t>
      </w:r>
      <w:r w:rsidR="00586D63">
        <w:t>Different situations can call for the use of technologies</w:t>
      </w:r>
      <w:r w:rsidR="0084503B">
        <w:t>,</w:t>
      </w:r>
      <w:r w:rsidR="00586D63">
        <w:t xml:space="preserve"> and others </w:t>
      </w:r>
      <w:proofErr w:type="spellStart"/>
      <w:r w:rsidR="00586D63">
        <w:t>can not</w:t>
      </w:r>
      <w:proofErr w:type="spellEnd"/>
      <w:r w:rsidR="00586D63">
        <w:t xml:space="preserve">. </w:t>
      </w:r>
      <w:r w:rsidR="00BB35FF">
        <w:t xml:space="preserve">Determining the right time to use them in the classroom </w:t>
      </w:r>
      <w:proofErr w:type="gramStart"/>
      <w:r w:rsidR="00BB35FF">
        <w:t>would</w:t>
      </w:r>
      <w:proofErr w:type="gramEnd"/>
      <w:r w:rsidR="00BB35FF">
        <w:t xml:space="preserve"> fall on the instructor </w:t>
      </w:r>
      <w:r w:rsidR="005E2FEE">
        <w:t>if</w:t>
      </w:r>
      <w:r w:rsidR="00900210">
        <w:t xml:space="preserve"> they prefer it</w:t>
      </w:r>
      <w:r w:rsidR="005E2FEE">
        <w:t xml:space="preserve">. </w:t>
      </w:r>
      <w:r w:rsidR="00BD072C">
        <w:t xml:space="preserve">The following articles are instances of using technologies in the classroom and determining their place in </w:t>
      </w:r>
      <w:r w:rsidR="005239A6">
        <w:t xml:space="preserve">educational instruction and workplace productivity. </w:t>
      </w:r>
    </w:p>
    <w:p w14:paraId="055ED7FC" w14:textId="47E5A55E" w:rsidR="005F3CDD" w:rsidRDefault="0003012A" w:rsidP="0003012A">
      <w:pPr>
        <w:jc w:val="center"/>
        <w:rPr>
          <w:b/>
          <w:bCs/>
        </w:rPr>
      </w:pPr>
      <w:r>
        <w:rPr>
          <w:b/>
          <w:bCs/>
        </w:rPr>
        <w:t xml:space="preserve">Developing Scales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Use Facebook As A Learning Tool</w:t>
      </w:r>
    </w:p>
    <w:p w14:paraId="4856454C" w14:textId="77777777" w:rsidR="0041439B" w:rsidRDefault="00603B77" w:rsidP="002B2284">
      <w:pPr>
        <w:ind w:firstLine="720"/>
      </w:pPr>
      <w:r>
        <w:t xml:space="preserve">According to </w:t>
      </w:r>
      <w:r w:rsidR="00975D9B">
        <w:t>Demir (2018), Facebook has become one of the most widely used social media application</w:t>
      </w:r>
      <w:r w:rsidR="00603F42">
        <w:t>s</w:t>
      </w:r>
      <w:r w:rsidR="00975D9B">
        <w:t xml:space="preserve"> for discussion and connectivity between individuals and groups. </w:t>
      </w:r>
      <w:r w:rsidR="00603F42">
        <w:t>In addition, s</w:t>
      </w:r>
      <w:r w:rsidR="00A156F1">
        <w:t>ome of the</w:t>
      </w:r>
      <w:r w:rsidR="006A1A12">
        <w:t xml:space="preserve"> respond</w:t>
      </w:r>
      <w:r w:rsidR="00603F42">
        <w:t>e</w:t>
      </w:r>
      <w:r w:rsidR="006A1A12">
        <w:t xml:space="preserve">nts in the study </w:t>
      </w:r>
      <w:r w:rsidR="00E05EF2">
        <w:t xml:space="preserve">report a significant increase in engagement and learning using Facebook amongst </w:t>
      </w:r>
      <w:r w:rsidR="00603F42">
        <w:t xml:space="preserve">post-secondary students and beyond. </w:t>
      </w:r>
      <w:r w:rsidR="009E3B11">
        <w:t xml:space="preserve">However, </w:t>
      </w:r>
      <w:r w:rsidR="000969D2">
        <w:t xml:space="preserve">Demir (2018) discusses in the </w:t>
      </w:r>
      <w:r w:rsidR="009E3B11">
        <w:t xml:space="preserve">study </w:t>
      </w:r>
      <w:r w:rsidR="000969D2">
        <w:t xml:space="preserve">that using Facebook </w:t>
      </w:r>
      <w:r w:rsidR="001B2B27">
        <w:t>has its negative impacts</w:t>
      </w:r>
      <w:r w:rsidR="005D3F6D">
        <w:t>,</w:t>
      </w:r>
      <w:r w:rsidR="001B2B27">
        <w:t xml:space="preserve"> </w:t>
      </w:r>
      <w:r w:rsidR="004E46C2">
        <w:t xml:space="preserve">such as low efficiency, time consumption, and low </w:t>
      </w:r>
      <w:r w:rsidR="005D3F6D">
        <w:t>productivity</w:t>
      </w:r>
      <w:r w:rsidR="004E46C2">
        <w:t>.</w:t>
      </w:r>
      <w:r w:rsidR="0033032D">
        <w:t xml:space="preserve"> </w:t>
      </w:r>
    </w:p>
    <w:p w14:paraId="6D0D547D" w14:textId="613D38F2" w:rsidR="00170B42" w:rsidRDefault="0033032D" w:rsidP="002B2284">
      <w:pPr>
        <w:ind w:firstLine="720"/>
      </w:pPr>
      <w:r>
        <w:t xml:space="preserve">In the end, the study identified factors that can enhance yet also hinder the learning process if Facebook were </w:t>
      </w:r>
      <w:r w:rsidR="0036042A">
        <w:t>utilized (Demir, 2018).</w:t>
      </w:r>
      <w:r w:rsidR="00E96617">
        <w:t xml:space="preserve"> </w:t>
      </w:r>
      <w:r w:rsidR="00D72AAB">
        <w:t>An e</w:t>
      </w:r>
      <w:r w:rsidR="002B2284">
        <w:t>xample</w:t>
      </w:r>
      <w:r w:rsidR="003B504A">
        <w:t xml:space="preserve"> of a positive</w:t>
      </w:r>
      <w:r w:rsidR="00E96617">
        <w:t xml:space="preserve"> factor that assisted </w:t>
      </w:r>
      <w:r w:rsidR="00776B1F">
        <w:t>learning is communication. Using Facebook groups</w:t>
      </w:r>
      <w:r w:rsidR="002B2284">
        <w:t xml:space="preserve"> provide a sense of community and assists in collaboration</w:t>
      </w:r>
      <w:r w:rsidR="00D72AAB">
        <w:t xml:space="preserve"> and teamwork. </w:t>
      </w:r>
      <w:r w:rsidR="006C4833">
        <w:t xml:space="preserve">While social media </w:t>
      </w:r>
      <w:r w:rsidR="003B504A">
        <w:t>can deliver instruction, Demir (2018</w:t>
      </w:r>
      <w:r w:rsidR="007007D5">
        <w:t xml:space="preserve">) says teachers are the foundational pieces of integrating technology </w:t>
      </w:r>
      <w:r w:rsidR="0041439B">
        <w:t xml:space="preserve">in </w:t>
      </w:r>
      <w:r w:rsidR="00196B7D">
        <w:t>educa</w:t>
      </w:r>
      <w:r w:rsidR="0041439B">
        <w:t>tion and should</w:t>
      </w:r>
      <w:r w:rsidR="00116505">
        <w:t xml:space="preserve"> no</w:t>
      </w:r>
      <w:r w:rsidR="0041439B">
        <w:t>t be</w:t>
      </w:r>
      <w:r w:rsidR="00196B7D">
        <w:t>come</w:t>
      </w:r>
      <w:r w:rsidR="0041439B">
        <w:t xml:space="preserve"> replac</w:t>
      </w:r>
      <w:r w:rsidR="00170B42">
        <w:t>e</w:t>
      </w:r>
      <w:r w:rsidR="00196B7D">
        <w:t>a</w:t>
      </w:r>
      <w:r w:rsidR="00170B42">
        <w:t>ble</w:t>
      </w:r>
      <w:r w:rsidR="0041439B">
        <w:t xml:space="preserve"> but enhanced by the technology tools available.</w:t>
      </w:r>
    </w:p>
    <w:p w14:paraId="7CD26625" w14:textId="3F2B1E6E" w:rsidR="00E96617" w:rsidRDefault="005463E9" w:rsidP="005463E9">
      <w:pPr>
        <w:jc w:val="center"/>
        <w:rPr>
          <w:b/>
          <w:bCs/>
        </w:rPr>
      </w:pPr>
      <w:r>
        <w:rPr>
          <w:b/>
          <w:bCs/>
        </w:rPr>
        <w:t>Constructivist Educational Technologies</w:t>
      </w:r>
    </w:p>
    <w:p w14:paraId="4C68A3E8" w14:textId="0BE627B7" w:rsidR="007D2996" w:rsidRDefault="005463E9" w:rsidP="005463E9">
      <w:pPr>
        <w:rPr>
          <w:rFonts w:cs="Times New Roman"/>
          <w:szCs w:val="24"/>
        </w:rPr>
      </w:pPr>
      <w:r>
        <w:tab/>
      </w:r>
      <w:proofErr w:type="spellStart"/>
      <w:r w:rsidR="00AB31A1" w:rsidRPr="001F34EF">
        <w:rPr>
          <w:rFonts w:cs="Times New Roman"/>
          <w:szCs w:val="24"/>
        </w:rPr>
        <w:t>Feyzi</w:t>
      </w:r>
      <w:proofErr w:type="spellEnd"/>
      <w:r w:rsidR="00AB31A1" w:rsidRPr="001F34EF">
        <w:rPr>
          <w:rFonts w:cs="Times New Roman"/>
          <w:szCs w:val="24"/>
        </w:rPr>
        <w:t xml:space="preserve"> </w:t>
      </w:r>
      <w:proofErr w:type="spellStart"/>
      <w:r w:rsidR="00AB31A1" w:rsidRPr="001F34EF">
        <w:rPr>
          <w:rFonts w:cs="Times New Roman"/>
          <w:szCs w:val="24"/>
        </w:rPr>
        <w:t>Behnagh</w:t>
      </w:r>
      <w:proofErr w:type="spellEnd"/>
      <w:r w:rsidR="004D1C34">
        <w:rPr>
          <w:rFonts w:cs="Times New Roman"/>
          <w:szCs w:val="24"/>
        </w:rPr>
        <w:t xml:space="preserve"> and </w:t>
      </w:r>
      <w:proofErr w:type="spellStart"/>
      <w:r w:rsidR="004D1C34">
        <w:rPr>
          <w:rFonts w:cs="Times New Roman"/>
          <w:szCs w:val="24"/>
        </w:rPr>
        <w:t>Yasrabi</w:t>
      </w:r>
      <w:proofErr w:type="spellEnd"/>
      <w:r w:rsidR="004D1C34">
        <w:rPr>
          <w:rFonts w:cs="Times New Roman"/>
          <w:szCs w:val="24"/>
        </w:rPr>
        <w:t xml:space="preserve"> (2020) discuss in their study the importance of technologies in the</w:t>
      </w:r>
      <w:r w:rsidR="00B45A35">
        <w:rPr>
          <w:rFonts w:cs="Times New Roman"/>
          <w:szCs w:val="24"/>
        </w:rPr>
        <w:t xml:space="preserve"> classroom as </w:t>
      </w:r>
      <w:r w:rsidR="00080F50">
        <w:rPr>
          <w:rFonts w:cs="Times New Roman"/>
          <w:szCs w:val="24"/>
        </w:rPr>
        <w:t>an enhancing tool for teachers to engage in students</w:t>
      </w:r>
      <w:r w:rsidR="004A7ACA">
        <w:rPr>
          <w:rFonts w:cs="Times New Roman"/>
          <w:szCs w:val="24"/>
        </w:rPr>
        <w:t>'</w:t>
      </w:r>
      <w:r w:rsidR="00080F50">
        <w:rPr>
          <w:rFonts w:cs="Times New Roman"/>
          <w:szCs w:val="24"/>
        </w:rPr>
        <w:t xml:space="preserve"> academic successes. </w:t>
      </w:r>
      <w:r w:rsidR="002C2657">
        <w:rPr>
          <w:rFonts w:cs="Times New Roman"/>
          <w:szCs w:val="24"/>
        </w:rPr>
        <w:t xml:space="preserve">Some of the main points that technologies </w:t>
      </w:r>
      <w:r w:rsidR="004A7ACA">
        <w:rPr>
          <w:rFonts w:cs="Times New Roman"/>
          <w:szCs w:val="24"/>
        </w:rPr>
        <w:t>at the school</w:t>
      </w:r>
      <w:r w:rsidR="002C2657">
        <w:rPr>
          <w:rFonts w:cs="Times New Roman"/>
          <w:szCs w:val="24"/>
        </w:rPr>
        <w:t xml:space="preserve"> provide </w:t>
      </w:r>
      <w:r w:rsidR="004A7ACA">
        <w:rPr>
          <w:rFonts w:cs="Times New Roman"/>
          <w:szCs w:val="24"/>
        </w:rPr>
        <w:t>are</w:t>
      </w:r>
      <w:r w:rsidR="002C2657">
        <w:rPr>
          <w:rFonts w:cs="Times New Roman"/>
          <w:szCs w:val="24"/>
        </w:rPr>
        <w:t xml:space="preserve"> collaboration and </w:t>
      </w:r>
      <w:r w:rsidR="002C2657">
        <w:rPr>
          <w:rFonts w:cs="Times New Roman"/>
          <w:szCs w:val="24"/>
        </w:rPr>
        <w:lastRenderedPageBreak/>
        <w:t xml:space="preserve">communication. </w:t>
      </w:r>
      <w:proofErr w:type="spellStart"/>
      <w:r w:rsidR="00331344" w:rsidRPr="001F34EF">
        <w:rPr>
          <w:rFonts w:cs="Times New Roman"/>
          <w:szCs w:val="24"/>
        </w:rPr>
        <w:t>Feyzi</w:t>
      </w:r>
      <w:proofErr w:type="spellEnd"/>
      <w:r w:rsidR="00331344" w:rsidRPr="001F34EF">
        <w:rPr>
          <w:rFonts w:cs="Times New Roman"/>
          <w:szCs w:val="24"/>
        </w:rPr>
        <w:t xml:space="preserve"> </w:t>
      </w:r>
      <w:proofErr w:type="spellStart"/>
      <w:r w:rsidR="00331344" w:rsidRPr="001F34EF">
        <w:rPr>
          <w:rFonts w:cs="Times New Roman"/>
          <w:szCs w:val="24"/>
        </w:rPr>
        <w:t>Behnagh</w:t>
      </w:r>
      <w:proofErr w:type="spellEnd"/>
      <w:r w:rsidR="00331344">
        <w:rPr>
          <w:rFonts w:cs="Times New Roman"/>
          <w:szCs w:val="24"/>
        </w:rPr>
        <w:t xml:space="preserve"> and </w:t>
      </w:r>
      <w:proofErr w:type="spellStart"/>
      <w:r w:rsidR="00331344">
        <w:rPr>
          <w:rFonts w:cs="Times New Roman"/>
          <w:szCs w:val="24"/>
        </w:rPr>
        <w:t>Yasrabi</w:t>
      </w:r>
      <w:proofErr w:type="spellEnd"/>
      <w:r w:rsidR="00331344">
        <w:rPr>
          <w:rFonts w:cs="Times New Roman"/>
          <w:szCs w:val="24"/>
        </w:rPr>
        <w:t xml:space="preserve"> (2020) established what educators already know</w:t>
      </w:r>
      <w:r w:rsidR="004279C9">
        <w:rPr>
          <w:rFonts w:cs="Times New Roman"/>
          <w:szCs w:val="24"/>
        </w:rPr>
        <w:t xml:space="preserve"> about ho</w:t>
      </w:r>
      <w:r w:rsidR="004A7ACA">
        <w:rPr>
          <w:rFonts w:cs="Times New Roman"/>
          <w:szCs w:val="24"/>
        </w:rPr>
        <w:t>w</w:t>
      </w:r>
      <w:r w:rsidR="004279C9">
        <w:rPr>
          <w:rFonts w:cs="Times New Roman"/>
          <w:szCs w:val="24"/>
        </w:rPr>
        <w:t xml:space="preserve"> technologies can bridge the gap where traditional face-to-face classrooms lack.</w:t>
      </w:r>
      <w:r w:rsidR="00331344">
        <w:rPr>
          <w:rFonts w:cs="Times New Roman"/>
          <w:szCs w:val="24"/>
        </w:rPr>
        <w:t xml:space="preserve"> </w:t>
      </w:r>
      <w:r w:rsidR="00796356">
        <w:rPr>
          <w:rFonts w:cs="Times New Roman"/>
          <w:szCs w:val="24"/>
        </w:rPr>
        <w:t xml:space="preserve">Communication and </w:t>
      </w:r>
      <w:proofErr w:type="gramStart"/>
      <w:r w:rsidR="008F1077">
        <w:rPr>
          <w:rFonts w:cs="Times New Roman"/>
          <w:szCs w:val="24"/>
        </w:rPr>
        <w:t>team</w:t>
      </w:r>
      <w:r w:rsidR="00C94864">
        <w:rPr>
          <w:rFonts w:cs="Times New Roman"/>
          <w:szCs w:val="24"/>
        </w:rPr>
        <w:t>-</w:t>
      </w:r>
      <w:r w:rsidR="008F1077">
        <w:rPr>
          <w:rFonts w:cs="Times New Roman"/>
          <w:szCs w:val="24"/>
        </w:rPr>
        <w:t>building</w:t>
      </w:r>
      <w:proofErr w:type="gramEnd"/>
      <w:r w:rsidR="00796356">
        <w:rPr>
          <w:rFonts w:cs="Times New Roman"/>
          <w:szCs w:val="24"/>
        </w:rPr>
        <w:t xml:space="preserve"> </w:t>
      </w:r>
      <w:r w:rsidR="004A7ACA">
        <w:rPr>
          <w:rFonts w:cs="Times New Roman"/>
          <w:szCs w:val="24"/>
        </w:rPr>
        <w:t>are</w:t>
      </w:r>
      <w:r w:rsidR="00796356">
        <w:rPr>
          <w:rFonts w:cs="Times New Roman"/>
          <w:szCs w:val="24"/>
        </w:rPr>
        <w:t xml:space="preserve"> </w:t>
      </w:r>
      <w:r w:rsidR="004A7ACA">
        <w:rPr>
          <w:rFonts w:cs="Times New Roman"/>
          <w:szCs w:val="24"/>
        </w:rPr>
        <w:t>essential</w:t>
      </w:r>
      <w:r w:rsidR="00796356">
        <w:rPr>
          <w:rFonts w:cs="Times New Roman"/>
          <w:szCs w:val="24"/>
        </w:rPr>
        <w:t xml:space="preserve"> to the learning experience</w:t>
      </w:r>
      <w:r w:rsidR="003F2B91">
        <w:rPr>
          <w:rFonts w:cs="Times New Roman"/>
          <w:szCs w:val="24"/>
        </w:rPr>
        <w:t xml:space="preserve"> and lead to constructive learning</w:t>
      </w:r>
      <w:r w:rsidR="00796356">
        <w:rPr>
          <w:rFonts w:cs="Times New Roman"/>
          <w:szCs w:val="24"/>
        </w:rPr>
        <w:t xml:space="preserve">. </w:t>
      </w:r>
      <w:r w:rsidR="00241399">
        <w:rPr>
          <w:rFonts w:cs="Times New Roman"/>
          <w:szCs w:val="24"/>
        </w:rPr>
        <w:t>Th</w:t>
      </w:r>
      <w:r w:rsidR="00D969F6">
        <w:rPr>
          <w:rFonts w:cs="Times New Roman"/>
          <w:szCs w:val="24"/>
        </w:rPr>
        <w:t xml:space="preserve">eir theory also suggests that using technologies </w:t>
      </w:r>
      <w:r w:rsidR="00DD747B">
        <w:rPr>
          <w:rFonts w:cs="Times New Roman"/>
          <w:szCs w:val="24"/>
        </w:rPr>
        <w:t>of coope</w:t>
      </w:r>
      <w:r w:rsidR="00D969F6">
        <w:rPr>
          <w:rFonts w:cs="Times New Roman"/>
          <w:szCs w:val="24"/>
        </w:rPr>
        <w:t>ration and com</w:t>
      </w:r>
      <w:r w:rsidR="00871DB0">
        <w:rPr>
          <w:rFonts w:cs="Times New Roman"/>
          <w:szCs w:val="24"/>
        </w:rPr>
        <w:t xml:space="preserve">munications could also address </w:t>
      </w:r>
      <w:r w:rsidR="004A7ACA">
        <w:rPr>
          <w:rFonts w:cs="Times New Roman"/>
          <w:szCs w:val="24"/>
        </w:rPr>
        <w:t>students' lack of social interaction</w:t>
      </w:r>
      <w:r w:rsidR="00871DB0">
        <w:rPr>
          <w:rFonts w:cs="Times New Roman"/>
          <w:szCs w:val="24"/>
        </w:rPr>
        <w:t>s.</w:t>
      </w:r>
      <w:r w:rsidR="001736E2">
        <w:rPr>
          <w:rFonts w:cs="Times New Roman"/>
          <w:szCs w:val="24"/>
        </w:rPr>
        <w:t xml:space="preserve"> </w:t>
      </w:r>
      <w:proofErr w:type="spellStart"/>
      <w:r w:rsidR="001736E2" w:rsidRPr="001F34EF">
        <w:rPr>
          <w:rFonts w:cs="Times New Roman"/>
          <w:szCs w:val="24"/>
        </w:rPr>
        <w:t>Feyzi</w:t>
      </w:r>
      <w:proofErr w:type="spellEnd"/>
      <w:r w:rsidR="001736E2" w:rsidRPr="001F34EF">
        <w:rPr>
          <w:rFonts w:cs="Times New Roman"/>
          <w:szCs w:val="24"/>
        </w:rPr>
        <w:t xml:space="preserve"> </w:t>
      </w:r>
      <w:proofErr w:type="spellStart"/>
      <w:r w:rsidR="001736E2" w:rsidRPr="001F34EF">
        <w:rPr>
          <w:rFonts w:cs="Times New Roman"/>
          <w:szCs w:val="24"/>
        </w:rPr>
        <w:t>Behnagh</w:t>
      </w:r>
      <w:proofErr w:type="spellEnd"/>
      <w:r w:rsidR="001736E2">
        <w:rPr>
          <w:rFonts w:cs="Times New Roman"/>
          <w:szCs w:val="24"/>
        </w:rPr>
        <w:t xml:space="preserve"> and </w:t>
      </w:r>
      <w:proofErr w:type="spellStart"/>
      <w:r w:rsidR="001736E2">
        <w:rPr>
          <w:rFonts w:cs="Times New Roman"/>
          <w:szCs w:val="24"/>
        </w:rPr>
        <w:t>Yasrabi</w:t>
      </w:r>
      <w:proofErr w:type="spellEnd"/>
      <w:r w:rsidR="001736E2">
        <w:rPr>
          <w:rFonts w:cs="Times New Roman"/>
          <w:szCs w:val="24"/>
        </w:rPr>
        <w:t xml:space="preserve"> (2020) also conclude that using technologies </w:t>
      </w:r>
      <w:r w:rsidR="0073520A">
        <w:rPr>
          <w:rFonts w:cs="Times New Roman"/>
          <w:szCs w:val="24"/>
        </w:rPr>
        <w:t>to collaborate</w:t>
      </w:r>
      <w:r w:rsidR="00002C0C">
        <w:rPr>
          <w:rFonts w:cs="Times New Roman"/>
          <w:szCs w:val="24"/>
        </w:rPr>
        <w:t xml:space="preserve"> would develop the student</w:t>
      </w:r>
      <w:r w:rsidR="0073520A">
        <w:rPr>
          <w:rFonts w:cs="Times New Roman"/>
          <w:szCs w:val="24"/>
        </w:rPr>
        <w:t xml:space="preserve">s' skills to prepare for the workforce. </w:t>
      </w:r>
      <w:r w:rsidR="00871DB0">
        <w:rPr>
          <w:rFonts w:cs="Times New Roman"/>
          <w:szCs w:val="24"/>
        </w:rPr>
        <w:t xml:space="preserve"> </w:t>
      </w:r>
    </w:p>
    <w:p w14:paraId="0A589B45" w14:textId="0401989E" w:rsidR="00C94864" w:rsidRDefault="00BF4A7F" w:rsidP="00C9486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</w:t>
      </w:r>
      <w:r w:rsidR="00D66BE5">
        <w:rPr>
          <w:rFonts w:cs="Times New Roman"/>
          <w:b/>
          <w:bCs/>
          <w:szCs w:val="24"/>
        </w:rPr>
        <w:t>sing Educational Technologies Amongst Marketing Students</w:t>
      </w:r>
    </w:p>
    <w:p w14:paraId="4C489FD8" w14:textId="5D17C798" w:rsidR="00D66BE5" w:rsidRDefault="00D66BE5" w:rsidP="00D66BE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42931">
        <w:rPr>
          <w:rFonts w:cs="Times New Roman"/>
          <w:szCs w:val="24"/>
        </w:rPr>
        <w:t xml:space="preserve">As </w:t>
      </w:r>
      <w:proofErr w:type="spellStart"/>
      <w:r>
        <w:rPr>
          <w:rFonts w:cs="Times New Roman"/>
          <w:szCs w:val="24"/>
        </w:rPr>
        <w:t>Fey</w:t>
      </w:r>
      <w:r w:rsidR="00642931">
        <w:rPr>
          <w:rFonts w:cs="Times New Roman"/>
          <w:szCs w:val="24"/>
        </w:rPr>
        <w:t>zi</w:t>
      </w:r>
      <w:proofErr w:type="spellEnd"/>
      <w:r w:rsidR="00642931">
        <w:rPr>
          <w:rFonts w:cs="Times New Roman"/>
          <w:szCs w:val="24"/>
        </w:rPr>
        <w:t xml:space="preserve"> </w:t>
      </w:r>
      <w:proofErr w:type="spellStart"/>
      <w:r w:rsidR="00642931">
        <w:rPr>
          <w:rFonts w:cs="Times New Roman"/>
          <w:szCs w:val="24"/>
        </w:rPr>
        <w:t>Behnagh</w:t>
      </w:r>
      <w:proofErr w:type="spellEnd"/>
      <w:r w:rsidR="00642931">
        <w:rPr>
          <w:rFonts w:cs="Times New Roman"/>
          <w:szCs w:val="24"/>
        </w:rPr>
        <w:t xml:space="preserve"> and </w:t>
      </w:r>
      <w:proofErr w:type="spellStart"/>
      <w:r w:rsidR="00642931">
        <w:rPr>
          <w:rFonts w:cs="Times New Roman"/>
          <w:szCs w:val="24"/>
        </w:rPr>
        <w:t>Yasrabi</w:t>
      </w:r>
      <w:proofErr w:type="spellEnd"/>
      <w:r w:rsidR="00642931">
        <w:rPr>
          <w:rFonts w:cs="Times New Roman"/>
          <w:szCs w:val="24"/>
        </w:rPr>
        <w:t xml:space="preserve"> (2020) </w:t>
      </w:r>
      <w:r w:rsidR="00DA6857">
        <w:rPr>
          <w:rFonts w:cs="Times New Roman"/>
          <w:szCs w:val="24"/>
        </w:rPr>
        <w:t>discuss the importance of using technologies in the coursework to provide quality products</w:t>
      </w:r>
      <w:r w:rsidR="00343650">
        <w:rPr>
          <w:rFonts w:cs="Times New Roman"/>
          <w:szCs w:val="24"/>
        </w:rPr>
        <w:t>,</w:t>
      </w:r>
      <w:r w:rsidR="00340D51">
        <w:rPr>
          <w:rFonts w:cs="Times New Roman"/>
          <w:szCs w:val="24"/>
        </w:rPr>
        <w:t xml:space="preserve"> </w:t>
      </w:r>
      <w:proofErr w:type="spellStart"/>
      <w:r w:rsidR="00340D51">
        <w:rPr>
          <w:rFonts w:cs="Times New Roman"/>
          <w:szCs w:val="24"/>
        </w:rPr>
        <w:t>Magano</w:t>
      </w:r>
      <w:proofErr w:type="spellEnd"/>
      <w:r w:rsidR="00340D51">
        <w:rPr>
          <w:rFonts w:cs="Times New Roman"/>
          <w:szCs w:val="24"/>
        </w:rPr>
        <w:t xml:space="preserve"> et al. (2020) demonstrated i</w:t>
      </w:r>
      <w:r w:rsidR="00343650">
        <w:rPr>
          <w:rFonts w:cs="Times New Roman"/>
          <w:szCs w:val="24"/>
        </w:rPr>
        <w:t>n their study how using education technolog</w:t>
      </w:r>
      <w:r w:rsidR="000A431A">
        <w:rPr>
          <w:rFonts w:cs="Times New Roman"/>
          <w:szCs w:val="24"/>
        </w:rPr>
        <w:t>y tools</w:t>
      </w:r>
      <w:r w:rsidR="00343650">
        <w:rPr>
          <w:rFonts w:cs="Times New Roman"/>
          <w:szCs w:val="24"/>
        </w:rPr>
        <w:t xml:space="preserve"> can be used in the workforce</w:t>
      </w:r>
      <w:r w:rsidR="00C36F41">
        <w:rPr>
          <w:rFonts w:cs="Times New Roman"/>
          <w:szCs w:val="24"/>
        </w:rPr>
        <w:t>, particularly in marketing</w:t>
      </w:r>
      <w:r w:rsidR="00343650">
        <w:rPr>
          <w:rFonts w:cs="Times New Roman"/>
          <w:szCs w:val="24"/>
        </w:rPr>
        <w:t xml:space="preserve">. </w:t>
      </w:r>
      <w:proofErr w:type="spellStart"/>
      <w:r w:rsidR="002A34DA">
        <w:rPr>
          <w:rFonts w:cs="Times New Roman"/>
          <w:szCs w:val="24"/>
        </w:rPr>
        <w:t>Magano</w:t>
      </w:r>
      <w:proofErr w:type="spellEnd"/>
      <w:r w:rsidR="002A34DA">
        <w:rPr>
          <w:rFonts w:cs="Times New Roman"/>
          <w:szCs w:val="24"/>
        </w:rPr>
        <w:t xml:space="preserve"> et al. (2020) identified </w:t>
      </w:r>
      <w:r w:rsidR="004162FE">
        <w:rPr>
          <w:rFonts w:cs="Times New Roman"/>
          <w:szCs w:val="24"/>
        </w:rPr>
        <w:t>several previously proven learning</w:t>
      </w:r>
      <w:r w:rsidR="00A540E1">
        <w:rPr>
          <w:rFonts w:cs="Times New Roman"/>
          <w:szCs w:val="24"/>
        </w:rPr>
        <w:t xml:space="preserve"> models</w:t>
      </w:r>
      <w:r w:rsidR="004162FE">
        <w:rPr>
          <w:rFonts w:cs="Times New Roman"/>
          <w:szCs w:val="24"/>
        </w:rPr>
        <w:t xml:space="preserve"> and theories</w:t>
      </w:r>
      <w:r w:rsidR="00A540E1">
        <w:rPr>
          <w:rFonts w:cs="Times New Roman"/>
          <w:szCs w:val="24"/>
        </w:rPr>
        <w:t xml:space="preserve">. </w:t>
      </w:r>
      <w:r w:rsidR="00E411F7">
        <w:rPr>
          <w:rFonts w:cs="Times New Roman"/>
          <w:szCs w:val="24"/>
        </w:rPr>
        <w:t>All of which they encompassed into Unified Theory of Acceptance</w:t>
      </w:r>
      <w:r w:rsidR="00905F15">
        <w:rPr>
          <w:rFonts w:cs="Times New Roman"/>
          <w:szCs w:val="24"/>
        </w:rPr>
        <w:t xml:space="preserve"> and Use of Technology (UTAUT).</w:t>
      </w:r>
      <w:r w:rsidR="00992654">
        <w:rPr>
          <w:rFonts w:cs="Times New Roman"/>
          <w:szCs w:val="24"/>
        </w:rPr>
        <w:t xml:space="preserve"> </w:t>
      </w:r>
      <w:proofErr w:type="spellStart"/>
      <w:r w:rsidR="00791E98">
        <w:rPr>
          <w:rFonts w:cs="Times New Roman"/>
          <w:szCs w:val="24"/>
        </w:rPr>
        <w:t>Magano</w:t>
      </w:r>
      <w:proofErr w:type="spellEnd"/>
      <w:r w:rsidR="00791E98">
        <w:rPr>
          <w:rFonts w:cs="Times New Roman"/>
          <w:szCs w:val="24"/>
        </w:rPr>
        <w:t xml:space="preserve"> et al. (2020) surveyed their subjects to </w:t>
      </w:r>
      <w:r w:rsidR="00992654">
        <w:rPr>
          <w:rFonts w:cs="Times New Roman"/>
          <w:szCs w:val="24"/>
        </w:rPr>
        <w:t xml:space="preserve">identify the tools for use in their given project and review for the </w:t>
      </w:r>
      <w:r w:rsidR="006A4ED7">
        <w:rPr>
          <w:rFonts w:cs="Times New Roman"/>
          <w:szCs w:val="24"/>
        </w:rPr>
        <w:t>usability and preference of the program</w:t>
      </w:r>
      <w:r w:rsidR="00992654">
        <w:rPr>
          <w:rFonts w:cs="Times New Roman"/>
          <w:szCs w:val="24"/>
        </w:rPr>
        <w:t xml:space="preserve"> of </w:t>
      </w:r>
      <w:r w:rsidR="00B67D77">
        <w:rPr>
          <w:rFonts w:cs="Times New Roman"/>
          <w:szCs w:val="24"/>
        </w:rPr>
        <w:t>servic</w:t>
      </w:r>
      <w:r w:rsidR="00992654">
        <w:rPr>
          <w:rFonts w:cs="Times New Roman"/>
          <w:szCs w:val="24"/>
        </w:rPr>
        <w:t xml:space="preserve">e in the future. </w:t>
      </w:r>
      <w:r w:rsidR="00D816B1">
        <w:rPr>
          <w:rFonts w:cs="Times New Roman"/>
          <w:szCs w:val="24"/>
        </w:rPr>
        <w:t xml:space="preserve">However, </w:t>
      </w:r>
      <w:r w:rsidR="00116505">
        <w:rPr>
          <w:rFonts w:cs="Times New Roman"/>
          <w:szCs w:val="24"/>
        </w:rPr>
        <w:t>much like Demir (2018), the conclusions</w:t>
      </w:r>
      <w:r w:rsidR="006A40D4">
        <w:rPr>
          <w:rFonts w:cs="Times New Roman"/>
          <w:szCs w:val="24"/>
        </w:rPr>
        <w:t xml:space="preserve"> decided that while technologies can be </w:t>
      </w:r>
      <w:r w:rsidR="00B67D77">
        <w:rPr>
          <w:rFonts w:cs="Times New Roman"/>
          <w:szCs w:val="24"/>
        </w:rPr>
        <w:t>help</w:t>
      </w:r>
      <w:r w:rsidR="00863307">
        <w:rPr>
          <w:rFonts w:cs="Times New Roman"/>
          <w:szCs w:val="24"/>
        </w:rPr>
        <w:t xml:space="preserve">ful in the younger generations who grew up with them, </w:t>
      </w:r>
      <w:r w:rsidR="00D65C63">
        <w:rPr>
          <w:rFonts w:cs="Times New Roman"/>
          <w:szCs w:val="24"/>
        </w:rPr>
        <w:t>they</w:t>
      </w:r>
      <w:r w:rsidR="00863307">
        <w:rPr>
          <w:rFonts w:cs="Times New Roman"/>
          <w:szCs w:val="24"/>
        </w:rPr>
        <w:t xml:space="preserve"> can become a heavy distractor (</w:t>
      </w:r>
      <w:proofErr w:type="spellStart"/>
      <w:r w:rsidR="00974B70">
        <w:rPr>
          <w:rFonts w:cs="Times New Roman"/>
          <w:szCs w:val="24"/>
        </w:rPr>
        <w:t>Magano</w:t>
      </w:r>
      <w:proofErr w:type="spellEnd"/>
      <w:r w:rsidR="00974B70">
        <w:rPr>
          <w:rFonts w:cs="Times New Roman"/>
          <w:szCs w:val="24"/>
        </w:rPr>
        <w:t xml:space="preserve"> et al., 2020). </w:t>
      </w:r>
    </w:p>
    <w:p w14:paraId="2AD2D6AD" w14:textId="3DD9DA87" w:rsidR="00974B70" w:rsidRPr="00974B70" w:rsidRDefault="00D65C63" w:rsidP="00974B70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MOOC</w:t>
      </w:r>
      <w:r w:rsidR="007761AA">
        <w:rPr>
          <w:rFonts w:cs="Times New Roman"/>
          <w:b/>
          <w:bCs/>
          <w:szCs w:val="24"/>
        </w:rPr>
        <w:t>-based Educational Program and Interactions</w:t>
      </w:r>
    </w:p>
    <w:p w14:paraId="109521C4" w14:textId="3292047C" w:rsidR="006A4ED7" w:rsidRDefault="006A4ED7" w:rsidP="00D66BE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="007761AA">
        <w:rPr>
          <w:rFonts w:cs="Times New Roman"/>
          <w:szCs w:val="24"/>
        </w:rPr>
        <w:t>Mellati</w:t>
      </w:r>
      <w:proofErr w:type="spellEnd"/>
      <w:r w:rsidR="007761AA">
        <w:rPr>
          <w:rFonts w:cs="Times New Roman"/>
          <w:szCs w:val="24"/>
        </w:rPr>
        <w:t xml:space="preserve"> and </w:t>
      </w:r>
      <w:proofErr w:type="spellStart"/>
      <w:r w:rsidR="007761AA">
        <w:rPr>
          <w:rFonts w:cs="Times New Roman"/>
          <w:szCs w:val="24"/>
        </w:rPr>
        <w:t>Khademi</w:t>
      </w:r>
      <w:proofErr w:type="spellEnd"/>
      <w:r w:rsidR="007761AA">
        <w:rPr>
          <w:rFonts w:cs="Times New Roman"/>
          <w:szCs w:val="24"/>
        </w:rPr>
        <w:t xml:space="preserve"> (2020) explored the use of Massive</w:t>
      </w:r>
      <w:r w:rsidR="00CC4FC2">
        <w:rPr>
          <w:rFonts w:cs="Times New Roman"/>
          <w:szCs w:val="24"/>
        </w:rPr>
        <w:t xml:space="preserve"> Open Online Course (MOOC) </w:t>
      </w:r>
    </w:p>
    <w:p w14:paraId="2E44B62F" w14:textId="3C63C987" w:rsidR="00363759" w:rsidRDefault="00532791" w:rsidP="00D66B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</w:t>
      </w:r>
      <w:r w:rsidR="00E44D72">
        <w:rPr>
          <w:rFonts w:cs="Times New Roman"/>
          <w:szCs w:val="24"/>
        </w:rPr>
        <w:t xml:space="preserve">language teaching environments. Outside of the MOOC, different technologies and applications </w:t>
      </w:r>
      <w:r w:rsidR="004341D1">
        <w:rPr>
          <w:rFonts w:cs="Times New Roman"/>
          <w:szCs w:val="24"/>
        </w:rPr>
        <w:t xml:space="preserve">offer </w:t>
      </w:r>
      <w:r w:rsidR="00B67D77">
        <w:rPr>
          <w:rFonts w:cs="Times New Roman"/>
          <w:szCs w:val="24"/>
        </w:rPr>
        <w:t>primary</w:t>
      </w:r>
      <w:r w:rsidR="009B647C">
        <w:rPr>
          <w:rFonts w:cs="Times New Roman"/>
          <w:szCs w:val="24"/>
        </w:rPr>
        <w:t>,</w:t>
      </w:r>
      <w:r w:rsidR="004341D1">
        <w:rPr>
          <w:rFonts w:cs="Times New Roman"/>
          <w:szCs w:val="24"/>
        </w:rPr>
        <w:t xml:space="preserve"> secondary language learning tools such as </w:t>
      </w:r>
      <w:proofErr w:type="spellStart"/>
      <w:r w:rsidR="004341D1">
        <w:rPr>
          <w:rFonts w:cs="Times New Roman"/>
          <w:szCs w:val="24"/>
        </w:rPr>
        <w:t>DuoLingo</w:t>
      </w:r>
      <w:proofErr w:type="spellEnd"/>
      <w:r w:rsidR="004341D1">
        <w:rPr>
          <w:rFonts w:cs="Times New Roman"/>
          <w:szCs w:val="24"/>
        </w:rPr>
        <w:t xml:space="preserve"> and Babble. </w:t>
      </w:r>
      <w:r w:rsidR="00A240E3">
        <w:rPr>
          <w:rFonts w:cs="Times New Roman"/>
          <w:szCs w:val="24"/>
        </w:rPr>
        <w:t xml:space="preserve">Translator applications have also allowed the breaking of communication barriers </w:t>
      </w:r>
      <w:r w:rsidR="00DE2461">
        <w:rPr>
          <w:rFonts w:cs="Times New Roman"/>
          <w:szCs w:val="24"/>
        </w:rPr>
        <w:t xml:space="preserve">between those </w:t>
      </w:r>
      <w:r w:rsidR="00DE2461">
        <w:rPr>
          <w:rFonts w:cs="Times New Roman"/>
          <w:szCs w:val="24"/>
        </w:rPr>
        <w:lastRenderedPageBreak/>
        <w:t xml:space="preserve">who speak different languages and dialects. </w:t>
      </w:r>
      <w:r w:rsidR="00B60E37">
        <w:rPr>
          <w:rFonts w:cs="Times New Roman"/>
          <w:szCs w:val="24"/>
        </w:rPr>
        <w:t>While learning a new language is considered better</w:t>
      </w:r>
      <w:r w:rsidR="009B647C">
        <w:rPr>
          <w:rFonts w:cs="Times New Roman"/>
          <w:szCs w:val="24"/>
        </w:rPr>
        <w:t>-</w:t>
      </w:r>
      <w:r w:rsidR="00B60E37">
        <w:rPr>
          <w:rFonts w:cs="Times New Roman"/>
          <w:szCs w:val="24"/>
        </w:rPr>
        <w:t>taught</w:t>
      </w:r>
      <w:r w:rsidR="007847B2">
        <w:rPr>
          <w:rFonts w:cs="Times New Roman"/>
          <w:szCs w:val="24"/>
        </w:rPr>
        <w:t xml:space="preserve"> face-to-face, </w:t>
      </w:r>
      <w:proofErr w:type="spellStart"/>
      <w:r w:rsidR="0027791E">
        <w:rPr>
          <w:rFonts w:cs="Times New Roman"/>
          <w:szCs w:val="24"/>
        </w:rPr>
        <w:t>Mellati</w:t>
      </w:r>
      <w:proofErr w:type="spellEnd"/>
      <w:r w:rsidR="0027791E">
        <w:rPr>
          <w:rFonts w:cs="Times New Roman"/>
          <w:szCs w:val="24"/>
        </w:rPr>
        <w:t xml:space="preserve"> and </w:t>
      </w:r>
      <w:proofErr w:type="spellStart"/>
      <w:r w:rsidR="0027791E">
        <w:rPr>
          <w:rFonts w:cs="Times New Roman"/>
          <w:szCs w:val="24"/>
        </w:rPr>
        <w:t>Khademi</w:t>
      </w:r>
      <w:proofErr w:type="spellEnd"/>
      <w:r w:rsidR="0027791E">
        <w:rPr>
          <w:rFonts w:cs="Times New Roman"/>
          <w:szCs w:val="24"/>
        </w:rPr>
        <w:t xml:space="preserve"> (2020) stress the importance of an effective Learning Management System (LMS), curricula, and </w:t>
      </w:r>
      <w:r w:rsidR="004F5AF8">
        <w:rPr>
          <w:rFonts w:cs="Times New Roman"/>
          <w:szCs w:val="24"/>
        </w:rPr>
        <w:t xml:space="preserve">supportive instructor developments.  </w:t>
      </w:r>
      <w:r w:rsidR="0027791E">
        <w:rPr>
          <w:rFonts w:cs="Times New Roman"/>
          <w:szCs w:val="24"/>
        </w:rPr>
        <w:t xml:space="preserve"> </w:t>
      </w:r>
    </w:p>
    <w:p w14:paraId="16C8CC2F" w14:textId="7025AE24" w:rsidR="00550C36" w:rsidRDefault="00AA5627" w:rsidP="00D66BE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Mellati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Khademi</w:t>
      </w:r>
      <w:proofErr w:type="spellEnd"/>
      <w:r>
        <w:rPr>
          <w:rFonts w:cs="Times New Roman"/>
          <w:szCs w:val="24"/>
        </w:rPr>
        <w:t xml:space="preserve"> (2020) also discuss the idea of using MOOC</w:t>
      </w:r>
      <w:r w:rsidR="00CE41F6">
        <w:rPr>
          <w:rFonts w:cs="Times New Roman"/>
          <w:szCs w:val="24"/>
        </w:rPr>
        <w:t>s</w:t>
      </w:r>
      <w:r w:rsidR="00BC517B">
        <w:rPr>
          <w:rFonts w:cs="Times New Roman"/>
          <w:szCs w:val="24"/>
        </w:rPr>
        <w:t xml:space="preserve"> as part of the model for</w:t>
      </w:r>
      <w:r>
        <w:rPr>
          <w:rFonts w:cs="Times New Roman"/>
          <w:szCs w:val="24"/>
        </w:rPr>
        <w:t xml:space="preserve"> the flipped classroom</w:t>
      </w:r>
      <w:r w:rsidR="00BC517B">
        <w:rPr>
          <w:rFonts w:cs="Times New Roman"/>
          <w:szCs w:val="24"/>
        </w:rPr>
        <w:t xml:space="preserve">. </w:t>
      </w:r>
      <w:r w:rsidR="00CE41F6">
        <w:rPr>
          <w:rFonts w:cs="Times New Roman"/>
          <w:szCs w:val="24"/>
        </w:rPr>
        <w:t>The f</w:t>
      </w:r>
      <w:r w:rsidR="00BC517B">
        <w:rPr>
          <w:rFonts w:cs="Times New Roman"/>
          <w:szCs w:val="24"/>
        </w:rPr>
        <w:t>lipped classroom</w:t>
      </w:r>
      <w:r w:rsidR="00C147F7">
        <w:rPr>
          <w:rFonts w:cs="Times New Roman"/>
          <w:szCs w:val="24"/>
        </w:rPr>
        <w:t xml:space="preserve"> takes pre-made technologies, lessons, and recordings and deliver</w:t>
      </w:r>
      <w:r w:rsidR="00CE41F6">
        <w:rPr>
          <w:rFonts w:cs="Times New Roman"/>
          <w:szCs w:val="24"/>
        </w:rPr>
        <w:t>s</w:t>
      </w:r>
      <w:r w:rsidR="00C147F7">
        <w:rPr>
          <w:rFonts w:cs="Times New Roman"/>
          <w:szCs w:val="24"/>
        </w:rPr>
        <w:t xml:space="preserve"> </w:t>
      </w:r>
      <w:r w:rsidR="00CE41F6">
        <w:rPr>
          <w:rFonts w:cs="Times New Roman"/>
          <w:szCs w:val="24"/>
        </w:rPr>
        <w:t xml:space="preserve">them </w:t>
      </w:r>
      <w:r w:rsidR="00C147F7">
        <w:rPr>
          <w:rFonts w:cs="Times New Roman"/>
          <w:szCs w:val="24"/>
        </w:rPr>
        <w:t xml:space="preserve">to the students </w:t>
      </w:r>
      <w:r w:rsidR="00CE41F6">
        <w:rPr>
          <w:rFonts w:cs="Times New Roman"/>
          <w:szCs w:val="24"/>
        </w:rPr>
        <w:t>before</w:t>
      </w:r>
      <w:r w:rsidR="00C147F7">
        <w:rPr>
          <w:rFonts w:cs="Times New Roman"/>
          <w:szCs w:val="24"/>
        </w:rPr>
        <w:t xml:space="preserve"> the </w:t>
      </w:r>
      <w:r w:rsidR="00A7663B">
        <w:rPr>
          <w:rFonts w:cs="Times New Roman"/>
          <w:szCs w:val="24"/>
        </w:rPr>
        <w:t>class</w:t>
      </w:r>
      <w:r w:rsidR="00C147F7">
        <w:rPr>
          <w:rFonts w:cs="Times New Roman"/>
          <w:szCs w:val="24"/>
        </w:rPr>
        <w:t>. This</w:t>
      </w:r>
      <w:r w:rsidR="00CE41F6">
        <w:rPr>
          <w:rFonts w:cs="Times New Roman"/>
          <w:szCs w:val="24"/>
        </w:rPr>
        <w:t xml:space="preserve"> approach</w:t>
      </w:r>
      <w:r w:rsidR="00C147F7">
        <w:rPr>
          <w:rFonts w:cs="Times New Roman"/>
          <w:szCs w:val="24"/>
        </w:rPr>
        <w:t xml:space="preserve"> gives students time to get familiar with the material </w:t>
      </w:r>
      <w:r w:rsidR="00173910">
        <w:rPr>
          <w:rFonts w:cs="Times New Roman"/>
          <w:szCs w:val="24"/>
        </w:rPr>
        <w:t>beforehand</w:t>
      </w:r>
      <w:r w:rsidR="00CE41F6">
        <w:rPr>
          <w:rFonts w:cs="Times New Roman"/>
          <w:szCs w:val="24"/>
        </w:rPr>
        <w:t>,</w:t>
      </w:r>
      <w:r w:rsidR="00173910">
        <w:rPr>
          <w:rFonts w:cs="Times New Roman"/>
          <w:szCs w:val="24"/>
        </w:rPr>
        <w:t xml:space="preserve"> and the instructor can focus more on the work and feedback needed for students to assess where they are.</w:t>
      </w:r>
      <w:r w:rsidR="00550C36">
        <w:rPr>
          <w:rFonts w:cs="Times New Roman"/>
          <w:szCs w:val="24"/>
        </w:rPr>
        <w:t xml:space="preserve"> Finally,</w:t>
      </w:r>
      <w:r w:rsidR="00173910">
        <w:rPr>
          <w:rFonts w:cs="Times New Roman"/>
          <w:szCs w:val="24"/>
        </w:rPr>
        <w:t xml:space="preserve"> </w:t>
      </w:r>
      <w:proofErr w:type="spellStart"/>
      <w:r w:rsidR="00FA7F8B">
        <w:rPr>
          <w:rFonts w:cs="Times New Roman"/>
          <w:szCs w:val="24"/>
        </w:rPr>
        <w:t>Mellati</w:t>
      </w:r>
      <w:proofErr w:type="spellEnd"/>
      <w:r w:rsidR="00FA7F8B">
        <w:rPr>
          <w:rFonts w:cs="Times New Roman"/>
          <w:szCs w:val="24"/>
        </w:rPr>
        <w:t xml:space="preserve"> and </w:t>
      </w:r>
      <w:proofErr w:type="spellStart"/>
      <w:r w:rsidR="00FA7F8B">
        <w:rPr>
          <w:rFonts w:cs="Times New Roman"/>
          <w:szCs w:val="24"/>
        </w:rPr>
        <w:t>Khademi</w:t>
      </w:r>
      <w:proofErr w:type="spellEnd"/>
      <w:r w:rsidR="000E4F8A">
        <w:rPr>
          <w:rFonts w:cs="Times New Roman"/>
          <w:szCs w:val="24"/>
        </w:rPr>
        <w:t xml:space="preserve"> (2020) </w:t>
      </w:r>
      <w:r w:rsidR="00A7663B">
        <w:rPr>
          <w:rFonts w:cs="Times New Roman"/>
          <w:szCs w:val="24"/>
        </w:rPr>
        <w:t>evaluat</w:t>
      </w:r>
      <w:r w:rsidR="000E4F8A">
        <w:rPr>
          <w:rFonts w:cs="Times New Roman"/>
          <w:szCs w:val="24"/>
        </w:rPr>
        <w:t>ed which group performed better in a MOOC versus a traditional face-to-face</w:t>
      </w:r>
      <w:r w:rsidR="008A290D">
        <w:rPr>
          <w:rFonts w:cs="Times New Roman"/>
          <w:szCs w:val="24"/>
        </w:rPr>
        <w:t>. Th</w:t>
      </w:r>
      <w:r w:rsidR="00550C36">
        <w:rPr>
          <w:rFonts w:cs="Times New Roman"/>
          <w:szCs w:val="24"/>
        </w:rPr>
        <w:t>is experiment concluded that</w:t>
      </w:r>
      <w:r w:rsidR="008A290D">
        <w:rPr>
          <w:rFonts w:cs="Times New Roman"/>
          <w:szCs w:val="24"/>
        </w:rPr>
        <w:t xml:space="preserve"> the group who participated in MOOC</w:t>
      </w:r>
      <w:r w:rsidR="00116505">
        <w:rPr>
          <w:rFonts w:cs="Times New Roman"/>
          <w:szCs w:val="24"/>
        </w:rPr>
        <w:t>s</w:t>
      </w:r>
      <w:r w:rsidR="008A290D">
        <w:rPr>
          <w:rFonts w:cs="Times New Roman"/>
          <w:szCs w:val="24"/>
        </w:rPr>
        <w:t xml:space="preserve"> performed better than</w:t>
      </w:r>
      <w:r w:rsidR="00A7663B">
        <w:rPr>
          <w:rFonts w:cs="Times New Roman"/>
          <w:szCs w:val="24"/>
        </w:rPr>
        <w:t xml:space="preserve"> the control group of </w:t>
      </w:r>
      <w:r w:rsidR="00550C36">
        <w:rPr>
          <w:rFonts w:cs="Times New Roman"/>
          <w:szCs w:val="24"/>
        </w:rPr>
        <w:t>conven</w:t>
      </w:r>
      <w:r w:rsidR="00A7663B">
        <w:rPr>
          <w:rFonts w:cs="Times New Roman"/>
          <w:szCs w:val="24"/>
        </w:rPr>
        <w:t xml:space="preserve">tional face-to-face learners. </w:t>
      </w:r>
    </w:p>
    <w:p w14:paraId="4173D82D" w14:textId="79950B05" w:rsidR="00C2334D" w:rsidRDefault="0037091C" w:rsidP="0037091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Design Trade-offs</w:t>
      </w:r>
    </w:p>
    <w:p w14:paraId="0ACCD6AE" w14:textId="77777777" w:rsidR="00744C02" w:rsidRDefault="0084503B" w:rsidP="00E9131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F2F31">
        <w:rPr>
          <w:rFonts w:cs="Times New Roman"/>
          <w:szCs w:val="24"/>
        </w:rPr>
        <w:t xml:space="preserve">Many instructional designers </w:t>
      </w:r>
      <w:r w:rsidR="007F4B02">
        <w:rPr>
          <w:rFonts w:cs="Times New Roman"/>
          <w:szCs w:val="24"/>
        </w:rPr>
        <w:t xml:space="preserve">pride themselves on making their product more pleasing to the eye to increase motivation and engagement for the users. Rau et al. (2020) </w:t>
      </w:r>
      <w:r w:rsidR="00D10932">
        <w:rPr>
          <w:rFonts w:cs="Times New Roman"/>
          <w:szCs w:val="24"/>
        </w:rPr>
        <w:t xml:space="preserve">completed a study about how designing visually pleasing program </w:t>
      </w:r>
      <w:r w:rsidR="00822ADC">
        <w:rPr>
          <w:rFonts w:cs="Times New Roman"/>
          <w:szCs w:val="24"/>
        </w:rPr>
        <w:t xml:space="preserve">tools </w:t>
      </w:r>
      <w:r w:rsidR="00D10932">
        <w:rPr>
          <w:rFonts w:cs="Times New Roman"/>
          <w:szCs w:val="24"/>
        </w:rPr>
        <w:t>may increase the</w:t>
      </w:r>
      <w:r w:rsidR="00822ADC">
        <w:rPr>
          <w:rFonts w:cs="Times New Roman"/>
          <w:szCs w:val="24"/>
        </w:rPr>
        <w:t xml:space="preserve"> productivity of students engaging in the progra</w:t>
      </w:r>
      <w:r w:rsidR="008451C5">
        <w:rPr>
          <w:rFonts w:cs="Times New Roman"/>
          <w:szCs w:val="24"/>
        </w:rPr>
        <w:t xml:space="preserve">m and what, if any, trade-offs would be considered acceptable in the learning environment. </w:t>
      </w:r>
      <w:r w:rsidR="00127460">
        <w:rPr>
          <w:rFonts w:cs="Times New Roman"/>
          <w:szCs w:val="24"/>
        </w:rPr>
        <w:t xml:space="preserve">The experiment was recruiting students to try a chemistry program </w:t>
      </w:r>
      <w:r w:rsidR="00CA0A0A">
        <w:rPr>
          <w:rFonts w:cs="Times New Roman"/>
          <w:szCs w:val="24"/>
        </w:rPr>
        <w:t xml:space="preserve">to demonstrate their knowledge of chemical bonds. </w:t>
      </w:r>
      <w:r w:rsidR="00744C02">
        <w:rPr>
          <w:rFonts w:cs="Times New Roman"/>
          <w:szCs w:val="24"/>
        </w:rPr>
        <w:t xml:space="preserve">Rau et al.'s (2020) </w:t>
      </w:r>
      <w:r w:rsidR="00E41A9D">
        <w:rPr>
          <w:rFonts w:cs="Times New Roman"/>
          <w:szCs w:val="24"/>
        </w:rPr>
        <w:t>study conclusion showed that keeping the program basic and easy to use outweighed using a more visually appealing program</w:t>
      </w:r>
      <w:r w:rsidR="00B71FDD">
        <w:rPr>
          <w:rFonts w:cs="Times New Roman"/>
          <w:szCs w:val="24"/>
        </w:rPr>
        <w:t xml:space="preserve"> and </w:t>
      </w:r>
      <w:r w:rsidR="00744C02">
        <w:rPr>
          <w:rFonts w:cs="Times New Roman"/>
          <w:szCs w:val="24"/>
        </w:rPr>
        <w:t xml:space="preserve">was </w:t>
      </w:r>
      <w:r w:rsidR="00B71FDD">
        <w:rPr>
          <w:rFonts w:cs="Times New Roman"/>
          <w:szCs w:val="24"/>
        </w:rPr>
        <w:t xml:space="preserve">cumbersome at times. </w:t>
      </w:r>
      <w:r w:rsidR="00E41A9D">
        <w:rPr>
          <w:rFonts w:cs="Times New Roman"/>
          <w:szCs w:val="24"/>
        </w:rPr>
        <w:t xml:space="preserve">Some programs </w:t>
      </w:r>
      <w:r w:rsidR="00641789">
        <w:rPr>
          <w:rFonts w:cs="Times New Roman"/>
          <w:szCs w:val="24"/>
        </w:rPr>
        <w:t>have the ability not only to</w:t>
      </w:r>
      <w:r w:rsidR="00E41A9D">
        <w:rPr>
          <w:rFonts w:cs="Times New Roman"/>
          <w:szCs w:val="24"/>
        </w:rPr>
        <w:t xml:space="preserve"> be simple </w:t>
      </w:r>
      <w:r w:rsidR="00641789">
        <w:rPr>
          <w:rFonts w:cs="Times New Roman"/>
          <w:szCs w:val="24"/>
        </w:rPr>
        <w:t>but</w:t>
      </w:r>
      <w:r w:rsidR="003D797B">
        <w:rPr>
          <w:rFonts w:cs="Times New Roman"/>
          <w:szCs w:val="24"/>
        </w:rPr>
        <w:t xml:space="preserve"> </w:t>
      </w:r>
      <w:r w:rsidR="00641789">
        <w:rPr>
          <w:rFonts w:cs="Times New Roman"/>
          <w:szCs w:val="24"/>
        </w:rPr>
        <w:t xml:space="preserve">visually </w:t>
      </w:r>
      <w:r w:rsidR="00F16004">
        <w:rPr>
          <w:rFonts w:cs="Times New Roman"/>
          <w:szCs w:val="24"/>
        </w:rPr>
        <w:t xml:space="preserve">stunning as well. </w:t>
      </w:r>
      <w:r w:rsidR="00AE7431">
        <w:rPr>
          <w:rFonts w:cs="Times New Roman"/>
          <w:szCs w:val="24"/>
        </w:rPr>
        <w:t xml:space="preserve">Each </w:t>
      </w:r>
      <w:r w:rsidR="00744C02">
        <w:rPr>
          <w:rFonts w:cs="Times New Roman"/>
          <w:szCs w:val="24"/>
        </w:rPr>
        <w:t>program can help or hinder the learning process based on design alone.</w:t>
      </w:r>
    </w:p>
    <w:p w14:paraId="65D4AE28" w14:textId="11DDF356" w:rsidR="00E9131A" w:rsidRDefault="00D10932" w:rsidP="00E9131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F4B02">
        <w:rPr>
          <w:rFonts w:cs="Times New Roman"/>
          <w:szCs w:val="24"/>
        </w:rPr>
        <w:t xml:space="preserve"> </w:t>
      </w:r>
    </w:p>
    <w:p w14:paraId="29A270B1" w14:textId="499720D7" w:rsidR="00C83251" w:rsidRPr="0084503B" w:rsidRDefault="00E9131A" w:rsidP="0084503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Summary</w:t>
      </w:r>
    </w:p>
    <w:p w14:paraId="349B77DA" w14:textId="2EEEBB56" w:rsidR="00E9131A" w:rsidRPr="00E9131A" w:rsidRDefault="00C83251" w:rsidP="00C8325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Much like </w:t>
      </w:r>
      <w:proofErr w:type="spellStart"/>
      <w:r w:rsidRPr="001F34EF">
        <w:rPr>
          <w:rFonts w:cs="Times New Roman"/>
          <w:szCs w:val="24"/>
        </w:rPr>
        <w:t>Feyzi</w:t>
      </w:r>
      <w:proofErr w:type="spellEnd"/>
      <w:r w:rsidRPr="001F34EF">
        <w:rPr>
          <w:rFonts w:cs="Times New Roman"/>
          <w:szCs w:val="24"/>
        </w:rPr>
        <w:t xml:space="preserve"> </w:t>
      </w:r>
      <w:proofErr w:type="spellStart"/>
      <w:r w:rsidRPr="001F34EF">
        <w:rPr>
          <w:rFonts w:cs="Times New Roman"/>
          <w:szCs w:val="24"/>
        </w:rPr>
        <w:t>Behnagh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Yasrabi</w:t>
      </w:r>
      <w:proofErr w:type="spellEnd"/>
      <w:r>
        <w:rPr>
          <w:rFonts w:cs="Times New Roman"/>
          <w:szCs w:val="24"/>
        </w:rPr>
        <w:t xml:space="preserve"> (2020), emphasizing that teamwork and collaboration improve communication, </w:t>
      </w:r>
      <w:proofErr w:type="spellStart"/>
      <w:r>
        <w:rPr>
          <w:rFonts w:cs="Times New Roman"/>
          <w:szCs w:val="24"/>
        </w:rPr>
        <w:t>Mellati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Khademi</w:t>
      </w:r>
      <w:proofErr w:type="spellEnd"/>
      <w:r>
        <w:rPr>
          <w:rFonts w:cs="Times New Roman"/>
          <w:szCs w:val="24"/>
        </w:rPr>
        <w:t xml:space="preserve"> (2020) enhance that thought process, especially in language comprehension and developing a level of understanding between team members when collaborating. Demir (2018) discusses using Facebook to deliver instruction and communication; translators built into the program also allow for better communication skills.</w:t>
      </w:r>
      <w:r w:rsidR="00744C02">
        <w:rPr>
          <w:rFonts w:cs="Times New Roman"/>
          <w:szCs w:val="24"/>
        </w:rPr>
        <w:t xml:space="preserve"> While </w:t>
      </w:r>
      <w:r w:rsidR="00CE5E51">
        <w:rPr>
          <w:rFonts w:cs="Times New Roman"/>
          <w:szCs w:val="24"/>
        </w:rPr>
        <w:t xml:space="preserve">the content and visual appeal </w:t>
      </w:r>
      <w:r w:rsidR="00E03629">
        <w:rPr>
          <w:rFonts w:cs="Times New Roman"/>
          <w:szCs w:val="24"/>
        </w:rPr>
        <w:t>are essential for engagement and motivation, keeping the programs and tools simple to formally assess students' knowledge</w:t>
      </w:r>
      <w:r w:rsidR="005A0CA2">
        <w:rPr>
          <w:rFonts w:cs="Times New Roman"/>
          <w:szCs w:val="24"/>
        </w:rPr>
        <w:t xml:space="preserve"> outweighs the </w:t>
      </w:r>
      <w:r w:rsidR="00E03629">
        <w:rPr>
          <w:rFonts w:cs="Times New Roman"/>
          <w:szCs w:val="24"/>
        </w:rPr>
        <w:t>"</w:t>
      </w:r>
      <w:r w:rsidR="005A0CA2">
        <w:rPr>
          <w:rFonts w:cs="Times New Roman"/>
          <w:szCs w:val="24"/>
        </w:rPr>
        <w:t>bells and whistles</w:t>
      </w:r>
      <w:r w:rsidR="00E03629">
        <w:rPr>
          <w:rFonts w:cs="Times New Roman"/>
          <w:szCs w:val="24"/>
        </w:rPr>
        <w:t>"</w:t>
      </w:r>
      <w:r w:rsidR="00056EFD">
        <w:rPr>
          <w:rFonts w:cs="Times New Roman"/>
          <w:szCs w:val="24"/>
        </w:rPr>
        <w:t xml:space="preserve"> of a product (Rau et al., 2020).</w:t>
      </w:r>
    </w:p>
    <w:p w14:paraId="31052199" w14:textId="77777777" w:rsidR="00B67D77" w:rsidRPr="00D66BE5" w:rsidRDefault="00B67D77" w:rsidP="00D66BE5">
      <w:pPr>
        <w:rPr>
          <w:rFonts w:cs="Times New Roman"/>
          <w:szCs w:val="24"/>
        </w:rPr>
      </w:pPr>
    </w:p>
    <w:p w14:paraId="3406510A" w14:textId="715FC220" w:rsidR="004A7ACA" w:rsidRDefault="004A7ACA" w:rsidP="005463E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43B2851" w14:textId="281F1B57" w:rsidR="005463E9" w:rsidRPr="005463E9" w:rsidRDefault="004D1C34" w:rsidP="005463E9">
      <w:r>
        <w:rPr>
          <w:rFonts w:cs="Times New Roman"/>
          <w:szCs w:val="24"/>
        </w:rPr>
        <w:t xml:space="preserve"> </w:t>
      </w:r>
    </w:p>
    <w:p w14:paraId="09577C19" w14:textId="77777777" w:rsidR="00196B7D" w:rsidRDefault="00196B7D" w:rsidP="00196B7D"/>
    <w:p w14:paraId="5005D692" w14:textId="186F16B8" w:rsidR="0003012A" w:rsidRPr="004E2767" w:rsidRDefault="004E46C2" w:rsidP="004E2767">
      <w:pPr>
        <w:ind w:firstLine="720"/>
      </w:pPr>
      <w:r>
        <w:t xml:space="preserve"> </w:t>
      </w:r>
      <w:r w:rsidR="009E3B11">
        <w:t xml:space="preserve"> </w:t>
      </w:r>
      <w:r w:rsidR="00A156F1">
        <w:t xml:space="preserve"> </w:t>
      </w:r>
    </w:p>
    <w:p w14:paraId="22908164" w14:textId="77777777" w:rsidR="005F3CDD" w:rsidRPr="005F3CDD" w:rsidRDefault="005F3CDD" w:rsidP="009901CA">
      <w:pPr>
        <w:ind w:firstLine="720"/>
      </w:pPr>
    </w:p>
    <w:p w14:paraId="1CC09E90" w14:textId="77777777" w:rsidR="005F3CDD" w:rsidRPr="005F3CDD" w:rsidRDefault="005F3CDD" w:rsidP="009901CA">
      <w:pPr>
        <w:ind w:firstLine="720"/>
      </w:pPr>
    </w:p>
    <w:p w14:paraId="248FCDDC" w14:textId="77777777" w:rsidR="005F3CDD" w:rsidRPr="005F3CDD" w:rsidRDefault="005F3CDD" w:rsidP="009901CA">
      <w:pPr>
        <w:ind w:firstLine="720"/>
      </w:pPr>
    </w:p>
    <w:p w14:paraId="3BD938B4" w14:textId="77777777" w:rsidR="005F3CDD" w:rsidRPr="005F3CDD" w:rsidRDefault="005F3CDD" w:rsidP="009901CA">
      <w:pPr>
        <w:ind w:firstLine="720"/>
      </w:pPr>
    </w:p>
    <w:p w14:paraId="17612BAF" w14:textId="77777777" w:rsidR="005F3CDD" w:rsidRPr="005F3CDD" w:rsidRDefault="005F3CDD" w:rsidP="009901CA">
      <w:pPr>
        <w:ind w:firstLine="720"/>
        <w:rPr>
          <w:rFonts w:eastAsiaTheme="majorEastAsia"/>
          <w:szCs w:val="28"/>
        </w:rPr>
      </w:pPr>
      <w:r w:rsidRPr="005F3CDD">
        <w:br w:type="page"/>
      </w:r>
    </w:p>
    <w:p w14:paraId="05D58755" w14:textId="77777777" w:rsidR="00EF61EA" w:rsidRPr="00651B5D" w:rsidRDefault="00EF61EA" w:rsidP="008A4400">
      <w:pPr>
        <w:pStyle w:val="Heading1"/>
        <w:rPr>
          <w:rFonts w:cs="Times New Roman"/>
          <w:color w:val="auto"/>
        </w:rPr>
      </w:pPr>
      <w:r w:rsidRPr="00651B5D">
        <w:rPr>
          <w:rFonts w:cs="Times New Roman"/>
          <w:color w:val="auto"/>
        </w:rPr>
        <w:lastRenderedPageBreak/>
        <w:t>References</w:t>
      </w:r>
      <w:bookmarkEnd w:id="0"/>
      <w:bookmarkEnd w:id="1"/>
      <w:bookmarkEnd w:id="2"/>
    </w:p>
    <w:p w14:paraId="6E677DD5" w14:textId="0BCE3F72" w:rsidR="004C4AF6" w:rsidRDefault="004C4AF6" w:rsidP="00F31F38">
      <w:pPr>
        <w:ind w:left="720" w:hanging="720"/>
        <w:rPr>
          <w:rFonts w:cs="Times New Roman"/>
          <w:szCs w:val="24"/>
        </w:rPr>
      </w:pPr>
      <w:r w:rsidRPr="004C4AF6">
        <w:rPr>
          <w:rFonts w:cs="Times New Roman"/>
          <w:szCs w:val="24"/>
        </w:rPr>
        <w:t xml:space="preserve">Demir, M. (2018). Developing a scale for using </w:t>
      </w:r>
      <w:r w:rsidR="00CF2BF9">
        <w:rPr>
          <w:rFonts w:cs="Times New Roman"/>
          <w:szCs w:val="24"/>
        </w:rPr>
        <w:t>F</w:t>
      </w:r>
      <w:r w:rsidRPr="004C4AF6">
        <w:rPr>
          <w:rFonts w:cs="Times New Roman"/>
          <w:szCs w:val="24"/>
        </w:rPr>
        <w:t xml:space="preserve">acebook as a learning tool. </w:t>
      </w:r>
      <w:r w:rsidRPr="004C4AF6">
        <w:rPr>
          <w:rFonts w:cs="Times New Roman"/>
          <w:i/>
          <w:iCs/>
          <w:szCs w:val="24"/>
        </w:rPr>
        <w:t>Educational Technology Research and Development</w:t>
      </w:r>
      <w:r w:rsidRPr="004C4AF6">
        <w:rPr>
          <w:rFonts w:cs="Times New Roman"/>
          <w:szCs w:val="24"/>
        </w:rPr>
        <w:t>, 66(6), 1457-1477. https://doi.org/10.1007/s11423-018-9616-8</w:t>
      </w:r>
    </w:p>
    <w:p w14:paraId="72E30373" w14:textId="7BAE7265" w:rsidR="00C77C69" w:rsidRDefault="001F34EF" w:rsidP="00F31F38">
      <w:pPr>
        <w:ind w:left="720" w:hanging="720"/>
        <w:rPr>
          <w:rFonts w:cs="Times New Roman"/>
          <w:szCs w:val="24"/>
        </w:rPr>
      </w:pPr>
      <w:proofErr w:type="spellStart"/>
      <w:r w:rsidRPr="001F34EF">
        <w:rPr>
          <w:rFonts w:cs="Times New Roman"/>
          <w:szCs w:val="24"/>
        </w:rPr>
        <w:t>Feyzi</w:t>
      </w:r>
      <w:proofErr w:type="spellEnd"/>
      <w:r w:rsidRPr="001F34EF">
        <w:rPr>
          <w:rFonts w:cs="Times New Roman"/>
          <w:szCs w:val="24"/>
        </w:rPr>
        <w:t xml:space="preserve"> </w:t>
      </w:r>
      <w:proofErr w:type="spellStart"/>
      <w:r w:rsidRPr="001F34EF">
        <w:rPr>
          <w:rFonts w:cs="Times New Roman"/>
          <w:szCs w:val="24"/>
        </w:rPr>
        <w:t>Behnagh</w:t>
      </w:r>
      <w:proofErr w:type="spellEnd"/>
      <w:r w:rsidRPr="001F34EF">
        <w:rPr>
          <w:rFonts w:cs="Times New Roman"/>
          <w:szCs w:val="24"/>
        </w:rPr>
        <w:t xml:space="preserve">, R., &amp; </w:t>
      </w:r>
      <w:proofErr w:type="spellStart"/>
      <w:r w:rsidRPr="001F34EF">
        <w:rPr>
          <w:rFonts w:cs="Times New Roman"/>
          <w:szCs w:val="24"/>
        </w:rPr>
        <w:t>Yasrebi</w:t>
      </w:r>
      <w:proofErr w:type="spellEnd"/>
      <w:r w:rsidRPr="001F34EF">
        <w:rPr>
          <w:rFonts w:cs="Times New Roman"/>
          <w:szCs w:val="24"/>
        </w:rPr>
        <w:t xml:space="preserve">, S. (2020). An examination of constructivist educational technologies: Key affordances and conditions. </w:t>
      </w:r>
      <w:r w:rsidRPr="001F34EF">
        <w:rPr>
          <w:rFonts w:cs="Times New Roman"/>
          <w:i/>
          <w:iCs/>
          <w:szCs w:val="24"/>
        </w:rPr>
        <w:t>British Journal of Educational Technology</w:t>
      </w:r>
      <w:r w:rsidRPr="001F34EF">
        <w:rPr>
          <w:rFonts w:cs="Times New Roman"/>
          <w:szCs w:val="24"/>
        </w:rPr>
        <w:t>, 51(6), 1907-1919. https://doi.org/10.1111/bjet.13036</w:t>
      </w:r>
    </w:p>
    <w:p w14:paraId="6BB5888A" w14:textId="25C4E3FC" w:rsidR="0048176F" w:rsidRDefault="00C77C69" w:rsidP="00F31F38">
      <w:pPr>
        <w:ind w:left="720" w:hanging="720"/>
        <w:rPr>
          <w:rFonts w:cs="Times New Roman"/>
          <w:szCs w:val="24"/>
        </w:rPr>
      </w:pPr>
      <w:proofErr w:type="spellStart"/>
      <w:r w:rsidRPr="00C77C69">
        <w:rPr>
          <w:rFonts w:cs="Times New Roman"/>
          <w:szCs w:val="24"/>
        </w:rPr>
        <w:t>Magano</w:t>
      </w:r>
      <w:proofErr w:type="spellEnd"/>
      <w:r w:rsidRPr="00C77C69">
        <w:rPr>
          <w:rFonts w:cs="Times New Roman"/>
          <w:szCs w:val="24"/>
        </w:rPr>
        <w:t xml:space="preserve">, J., Alves, M., </w:t>
      </w:r>
      <w:proofErr w:type="spellStart"/>
      <w:r w:rsidRPr="00C77C69">
        <w:rPr>
          <w:rFonts w:cs="Times New Roman"/>
          <w:szCs w:val="24"/>
        </w:rPr>
        <w:t>Durão</w:t>
      </w:r>
      <w:proofErr w:type="spellEnd"/>
      <w:r w:rsidRPr="00C77C69">
        <w:rPr>
          <w:rFonts w:cs="Times New Roman"/>
          <w:szCs w:val="24"/>
        </w:rPr>
        <w:t xml:space="preserve">, R., &amp; de Carvalho, C. V. (2020). Adoption and use of educational technology tools by marketing students. Electronic Journal of e-Learning, 18(4), 347-356. </w:t>
      </w:r>
      <w:hyperlink r:id="rId12" w:history="1">
        <w:r w:rsidR="00E336DA" w:rsidRPr="00352DD2">
          <w:rPr>
            <w:rStyle w:val="Hyperlink"/>
            <w:rFonts w:cs="Times New Roman"/>
            <w:szCs w:val="24"/>
          </w:rPr>
          <w:t>https://doi.org/10.34190/EJEL.20.18.4.007</w:t>
        </w:r>
      </w:hyperlink>
    </w:p>
    <w:p w14:paraId="2211144D" w14:textId="323A4780" w:rsidR="009D1DE2" w:rsidRDefault="009D1DE2" w:rsidP="009D1DE2">
      <w:pPr>
        <w:ind w:left="720" w:hanging="720"/>
        <w:rPr>
          <w:rFonts w:cs="Times New Roman"/>
          <w:szCs w:val="24"/>
        </w:rPr>
      </w:pPr>
      <w:proofErr w:type="spellStart"/>
      <w:r w:rsidRPr="009D1DE2">
        <w:rPr>
          <w:rFonts w:cs="Times New Roman"/>
          <w:szCs w:val="24"/>
        </w:rPr>
        <w:t>Mellati</w:t>
      </w:r>
      <w:proofErr w:type="spellEnd"/>
      <w:r w:rsidRPr="009D1DE2">
        <w:rPr>
          <w:rFonts w:cs="Times New Roman"/>
          <w:szCs w:val="24"/>
        </w:rPr>
        <w:t xml:space="preserve">, M., &amp; </w:t>
      </w:r>
      <w:proofErr w:type="spellStart"/>
      <w:r w:rsidRPr="009D1DE2">
        <w:rPr>
          <w:rFonts w:cs="Times New Roman"/>
          <w:szCs w:val="24"/>
        </w:rPr>
        <w:t>Khademi</w:t>
      </w:r>
      <w:proofErr w:type="spellEnd"/>
      <w:r w:rsidRPr="009D1DE2">
        <w:rPr>
          <w:rFonts w:cs="Times New Roman"/>
          <w:szCs w:val="24"/>
        </w:rPr>
        <w:t xml:space="preserve">, M. (2020). MOOC-based educational program and interaction in distance education: </w:t>
      </w:r>
      <w:proofErr w:type="gramStart"/>
      <w:r w:rsidRPr="009D1DE2">
        <w:rPr>
          <w:rFonts w:cs="Times New Roman"/>
          <w:szCs w:val="24"/>
        </w:rPr>
        <w:t>Long</w:t>
      </w:r>
      <w:proofErr w:type="gramEnd"/>
      <w:r w:rsidRPr="009D1DE2">
        <w:rPr>
          <w:rFonts w:cs="Times New Roman"/>
          <w:szCs w:val="24"/>
        </w:rPr>
        <w:t xml:space="preserve"> life mode of teaching. </w:t>
      </w:r>
      <w:r w:rsidRPr="004C7869">
        <w:rPr>
          <w:rFonts w:cs="Times New Roman"/>
          <w:i/>
          <w:iCs/>
          <w:szCs w:val="24"/>
        </w:rPr>
        <w:t>Interactive Learning Environments</w:t>
      </w:r>
      <w:r w:rsidRPr="009D1DE2">
        <w:rPr>
          <w:rFonts w:cs="Times New Roman"/>
          <w:szCs w:val="24"/>
        </w:rPr>
        <w:t>, 28(8), 1022-1035. https://doi.org/10.1080/10494820.2018.1553188</w:t>
      </w:r>
    </w:p>
    <w:p w14:paraId="3C8DD54D" w14:textId="4C455004" w:rsidR="00E336DA" w:rsidRPr="00651B5D" w:rsidRDefault="00E336DA" w:rsidP="009D1DE2">
      <w:pPr>
        <w:ind w:left="720" w:hanging="720"/>
        <w:rPr>
          <w:rFonts w:cs="Times New Roman"/>
          <w:szCs w:val="24"/>
        </w:rPr>
      </w:pPr>
      <w:r w:rsidRPr="00E336DA">
        <w:rPr>
          <w:rFonts w:cs="Times New Roman"/>
          <w:szCs w:val="24"/>
        </w:rPr>
        <w:t>Rau, M. A., Keesler, W., Zhang, Y., &amp; Wu, S. (2020). Design trade</w:t>
      </w:r>
      <w:r w:rsidR="00AD531D">
        <w:rPr>
          <w:rFonts w:cs="Times New Roman"/>
          <w:szCs w:val="24"/>
        </w:rPr>
        <w:t>-</w:t>
      </w:r>
      <w:r w:rsidRPr="00E336DA">
        <w:rPr>
          <w:rFonts w:cs="Times New Roman"/>
          <w:szCs w:val="24"/>
        </w:rPr>
        <w:t xml:space="preserve">offs of interactive visualization tools for educational technologies. </w:t>
      </w:r>
      <w:r w:rsidRPr="004C7869">
        <w:rPr>
          <w:rFonts w:cs="Times New Roman"/>
          <w:i/>
          <w:iCs/>
          <w:szCs w:val="24"/>
        </w:rPr>
        <w:t>IEEE Transactions on Learning Technologies</w:t>
      </w:r>
      <w:r w:rsidRPr="00E336DA">
        <w:rPr>
          <w:rFonts w:cs="Times New Roman"/>
          <w:szCs w:val="24"/>
        </w:rPr>
        <w:t>, 13(2), 326-339. https://doi.org/10.1109/TLT.2019.2902546</w:t>
      </w:r>
    </w:p>
    <w:sectPr w:rsidR="00E336DA" w:rsidRPr="0065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9D5" w14:textId="77777777" w:rsidR="00F72915" w:rsidRDefault="00F72915" w:rsidP="00E04474">
      <w:pPr>
        <w:spacing w:line="240" w:lineRule="auto"/>
      </w:pPr>
      <w:r>
        <w:separator/>
      </w:r>
    </w:p>
  </w:endnote>
  <w:endnote w:type="continuationSeparator" w:id="0">
    <w:p w14:paraId="266F293D" w14:textId="77777777" w:rsidR="00F72915" w:rsidRDefault="00F72915" w:rsidP="00E0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B314" w14:textId="77777777" w:rsidR="00C12D39" w:rsidRDefault="00C12D39">
    <w:pPr>
      <w:pStyle w:val="Footer"/>
    </w:pPr>
  </w:p>
  <w:p w14:paraId="1107DC5D" w14:textId="77777777" w:rsidR="00C12D39" w:rsidRDefault="00C12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9A91" w14:textId="77777777" w:rsidR="00C12D39" w:rsidRDefault="00C12D39" w:rsidP="003C1FD2">
    <w:pPr>
      <w:pStyle w:val="Footer"/>
    </w:pPr>
  </w:p>
  <w:p w14:paraId="26F3A35E" w14:textId="77777777" w:rsidR="00C12D39" w:rsidRDefault="00C12D39">
    <w:pPr>
      <w:pStyle w:val="Footer"/>
    </w:pPr>
  </w:p>
  <w:p w14:paraId="6BCF0438" w14:textId="77777777" w:rsidR="00C12D39" w:rsidRDefault="00C1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889E" w14:textId="77777777" w:rsidR="00F72915" w:rsidRDefault="00F72915" w:rsidP="00E04474">
      <w:pPr>
        <w:spacing w:line="240" w:lineRule="auto"/>
      </w:pPr>
      <w:r>
        <w:separator/>
      </w:r>
    </w:p>
  </w:footnote>
  <w:footnote w:type="continuationSeparator" w:id="0">
    <w:p w14:paraId="382F4650" w14:textId="77777777" w:rsidR="00F72915" w:rsidRDefault="00F72915" w:rsidP="00E0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951" w14:textId="65F09A3C" w:rsidR="00F31F38" w:rsidRDefault="00A0713A">
    <w:pPr>
      <w:pStyle w:val="Header"/>
      <w:jc w:val="right"/>
    </w:pPr>
    <w:r>
      <w:rPr>
        <w:szCs w:val="24"/>
      </w:rPr>
      <w:t>JOURNAL ARTICLE CRITIQUE</w:t>
    </w:r>
    <w:r w:rsidR="00F31F38">
      <w:rPr>
        <w:szCs w:val="24"/>
      </w:rPr>
      <w:tab/>
    </w:r>
    <w:r w:rsidR="00F31F38">
      <w:rPr>
        <w:szCs w:val="24"/>
      </w:rPr>
      <w:tab/>
    </w:r>
    <w:sdt>
      <w:sdtPr>
        <w:id w:val="1310051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31F38">
          <w:fldChar w:fldCharType="begin"/>
        </w:r>
        <w:r w:rsidR="00F31F38">
          <w:instrText xml:space="preserve"> PAGE   \* MERGEFORMAT </w:instrText>
        </w:r>
        <w:r w:rsidR="00F31F38">
          <w:fldChar w:fldCharType="separate"/>
        </w:r>
        <w:r w:rsidR="008F4DC2">
          <w:rPr>
            <w:noProof/>
          </w:rPr>
          <w:t>1</w:t>
        </w:r>
        <w:r w:rsidR="00F31F38">
          <w:rPr>
            <w:noProof/>
          </w:rPr>
          <w:fldChar w:fldCharType="end"/>
        </w:r>
      </w:sdtContent>
    </w:sdt>
  </w:p>
  <w:p w14:paraId="76EDE3F2" w14:textId="77777777" w:rsidR="00C12D39" w:rsidRDefault="00C12D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28A" w14:textId="77777777" w:rsidR="00C12D39" w:rsidRDefault="00C12D39">
    <w:pPr>
      <w:pStyle w:val="Header"/>
      <w:jc w:val="right"/>
    </w:pPr>
    <w:r>
      <w:rPr>
        <w:szCs w:val="24"/>
      </w:rPr>
      <w:fldChar w:fldCharType="begin"/>
    </w:r>
    <w:r>
      <w:rPr>
        <w:szCs w:val="24"/>
      </w:rPr>
      <w:instrText xml:space="preserve"> MACROBUTTON Noname &lt;Insert SHORTENED TITLE&gt; </w:instrText>
    </w:r>
    <w:r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sdt>
      <w:sdtPr>
        <w:id w:val="-1942594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C30A11" w14:textId="77777777" w:rsidR="00C12D39" w:rsidRDefault="00C1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BE2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C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E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6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E6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6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A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E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CC"/>
    <w:multiLevelType w:val="hybridMultilevel"/>
    <w:tmpl w:val="E79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B2732"/>
    <w:multiLevelType w:val="hybridMultilevel"/>
    <w:tmpl w:val="C26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D45"/>
    <w:multiLevelType w:val="hybridMultilevel"/>
    <w:tmpl w:val="234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502A"/>
    <w:multiLevelType w:val="hybridMultilevel"/>
    <w:tmpl w:val="513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CD7"/>
    <w:multiLevelType w:val="hybridMultilevel"/>
    <w:tmpl w:val="2828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16A4C"/>
    <w:multiLevelType w:val="hybridMultilevel"/>
    <w:tmpl w:val="4B7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4D"/>
    <w:multiLevelType w:val="hybridMultilevel"/>
    <w:tmpl w:val="6AF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7473"/>
    <w:multiLevelType w:val="hybridMultilevel"/>
    <w:tmpl w:val="54F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54"/>
    <w:multiLevelType w:val="hybridMultilevel"/>
    <w:tmpl w:val="F42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085"/>
    <w:multiLevelType w:val="multilevel"/>
    <w:tmpl w:val="3D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24F1B"/>
    <w:multiLevelType w:val="hybridMultilevel"/>
    <w:tmpl w:val="268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AE8"/>
    <w:multiLevelType w:val="hybridMultilevel"/>
    <w:tmpl w:val="BDE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06D"/>
    <w:multiLevelType w:val="hybridMultilevel"/>
    <w:tmpl w:val="369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666E"/>
    <w:multiLevelType w:val="hybridMultilevel"/>
    <w:tmpl w:val="B60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wNLA0MTG1NDA2tDRV0lEKTi0uzszPAykwrwUAyZ355CwAAAA="/>
  </w:docVars>
  <w:rsids>
    <w:rsidRoot w:val="00AB7E81"/>
    <w:rsid w:val="00002C0C"/>
    <w:rsid w:val="00021811"/>
    <w:rsid w:val="00023E3A"/>
    <w:rsid w:val="00023E42"/>
    <w:rsid w:val="0003012A"/>
    <w:rsid w:val="00033212"/>
    <w:rsid w:val="000343F3"/>
    <w:rsid w:val="00044E21"/>
    <w:rsid w:val="00046CF6"/>
    <w:rsid w:val="00055B6A"/>
    <w:rsid w:val="00056EFD"/>
    <w:rsid w:val="00073B2D"/>
    <w:rsid w:val="00080F50"/>
    <w:rsid w:val="00082B55"/>
    <w:rsid w:val="00090421"/>
    <w:rsid w:val="000969D2"/>
    <w:rsid w:val="000A431A"/>
    <w:rsid w:val="000A6112"/>
    <w:rsid w:val="000B04FC"/>
    <w:rsid w:val="000D1F02"/>
    <w:rsid w:val="000E18E3"/>
    <w:rsid w:val="000E4AF2"/>
    <w:rsid w:val="000E4F8A"/>
    <w:rsid w:val="0010378B"/>
    <w:rsid w:val="001104C0"/>
    <w:rsid w:val="00116505"/>
    <w:rsid w:val="00125D38"/>
    <w:rsid w:val="00127460"/>
    <w:rsid w:val="001412C7"/>
    <w:rsid w:val="00152B8B"/>
    <w:rsid w:val="001532A0"/>
    <w:rsid w:val="0015641F"/>
    <w:rsid w:val="0016274C"/>
    <w:rsid w:val="00170B42"/>
    <w:rsid w:val="001736E2"/>
    <w:rsid w:val="00173910"/>
    <w:rsid w:val="001879B7"/>
    <w:rsid w:val="001902CC"/>
    <w:rsid w:val="00194BEE"/>
    <w:rsid w:val="00196B7D"/>
    <w:rsid w:val="001B17D4"/>
    <w:rsid w:val="001B2B27"/>
    <w:rsid w:val="001B2E46"/>
    <w:rsid w:val="001B4D85"/>
    <w:rsid w:val="001B688F"/>
    <w:rsid w:val="001E7402"/>
    <w:rsid w:val="001F34EF"/>
    <w:rsid w:val="001F5D7E"/>
    <w:rsid w:val="001F5E61"/>
    <w:rsid w:val="001F5F3C"/>
    <w:rsid w:val="0022381A"/>
    <w:rsid w:val="00227EF9"/>
    <w:rsid w:val="00231140"/>
    <w:rsid w:val="00241399"/>
    <w:rsid w:val="0025509E"/>
    <w:rsid w:val="002657DD"/>
    <w:rsid w:val="00276CD1"/>
    <w:rsid w:val="0027791E"/>
    <w:rsid w:val="00280EA0"/>
    <w:rsid w:val="00281450"/>
    <w:rsid w:val="00285EBC"/>
    <w:rsid w:val="0029067A"/>
    <w:rsid w:val="0029690B"/>
    <w:rsid w:val="002A22A6"/>
    <w:rsid w:val="002A34DA"/>
    <w:rsid w:val="002A4423"/>
    <w:rsid w:val="002A6696"/>
    <w:rsid w:val="002B2284"/>
    <w:rsid w:val="002B6302"/>
    <w:rsid w:val="002B6478"/>
    <w:rsid w:val="002C2657"/>
    <w:rsid w:val="002C6F23"/>
    <w:rsid w:val="002E12F9"/>
    <w:rsid w:val="002E2AF6"/>
    <w:rsid w:val="0033032D"/>
    <w:rsid w:val="00331344"/>
    <w:rsid w:val="0033525D"/>
    <w:rsid w:val="00340D51"/>
    <w:rsid w:val="00343650"/>
    <w:rsid w:val="00345401"/>
    <w:rsid w:val="00351262"/>
    <w:rsid w:val="00353D7A"/>
    <w:rsid w:val="0036042A"/>
    <w:rsid w:val="00363759"/>
    <w:rsid w:val="0037091C"/>
    <w:rsid w:val="00382C6C"/>
    <w:rsid w:val="00384130"/>
    <w:rsid w:val="003856B4"/>
    <w:rsid w:val="003B504A"/>
    <w:rsid w:val="003B6D3D"/>
    <w:rsid w:val="003C1FD2"/>
    <w:rsid w:val="003D797B"/>
    <w:rsid w:val="003E7A7E"/>
    <w:rsid w:val="003F2B91"/>
    <w:rsid w:val="003F2BB2"/>
    <w:rsid w:val="004124DE"/>
    <w:rsid w:val="0041439B"/>
    <w:rsid w:val="004162FE"/>
    <w:rsid w:val="00423C35"/>
    <w:rsid w:val="004279C9"/>
    <w:rsid w:val="004341D1"/>
    <w:rsid w:val="0044467C"/>
    <w:rsid w:val="00454BE8"/>
    <w:rsid w:val="0048176F"/>
    <w:rsid w:val="00486B5B"/>
    <w:rsid w:val="00490FB5"/>
    <w:rsid w:val="00491330"/>
    <w:rsid w:val="004A7ACA"/>
    <w:rsid w:val="004B3548"/>
    <w:rsid w:val="004C4AF6"/>
    <w:rsid w:val="004C7869"/>
    <w:rsid w:val="004D1C34"/>
    <w:rsid w:val="004E1AD4"/>
    <w:rsid w:val="004E2767"/>
    <w:rsid w:val="004E46C2"/>
    <w:rsid w:val="004E5B9F"/>
    <w:rsid w:val="004F51EC"/>
    <w:rsid w:val="004F5AF8"/>
    <w:rsid w:val="005239A6"/>
    <w:rsid w:val="00531673"/>
    <w:rsid w:val="00532791"/>
    <w:rsid w:val="0053432F"/>
    <w:rsid w:val="00542556"/>
    <w:rsid w:val="005463E9"/>
    <w:rsid w:val="00550C36"/>
    <w:rsid w:val="005533E9"/>
    <w:rsid w:val="00566B7E"/>
    <w:rsid w:val="00573F0C"/>
    <w:rsid w:val="00586D63"/>
    <w:rsid w:val="005A0400"/>
    <w:rsid w:val="005A0CA2"/>
    <w:rsid w:val="005B4C58"/>
    <w:rsid w:val="005B6E55"/>
    <w:rsid w:val="005C00DF"/>
    <w:rsid w:val="005C7E52"/>
    <w:rsid w:val="005D3821"/>
    <w:rsid w:val="005D3F6D"/>
    <w:rsid w:val="005E2FEE"/>
    <w:rsid w:val="005E7373"/>
    <w:rsid w:val="005F3CDD"/>
    <w:rsid w:val="00603B77"/>
    <w:rsid w:val="00603F42"/>
    <w:rsid w:val="00641789"/>
    <w:rsid w:val="00642931"/>
    <w:rsid w:val="00644D7B"/>
    <w:rsid w:val="00651473"/>
    <w:rsid w:val="00651B5D"/>
    <w:rsid w:val="00661EE2"/>
    <w:rsid w:val="00665A60"/>
    <w:rsid w:val="006840DF"/>
    <w:rsid w:val="00690452"/>
    <w:rsid w:val="006A1A12"/>
    <w:rsid w:val="006A40D4"/>
    <w:rsid w:val="006A4ED7"/>
    <w:rsid w:val="006B4020"/>
    <w:rsid w:val="006C3849"/>
    <w:rsid w:val="006C4833"/>
    <w:rsid w:val="006D2F55"/>
    <w:rsid w:val="007007D5"/>
    <w:rsid w:val="00702F7F"/>
    <w:rsid w:val="0070426D"/>
    <w:rsid w:val="007133E2"/>
    <w:rsid w:val="00732CB3"/>
    <w:rsid w:val="0073520A"/>
    <w:rsid w:val="00744C02"/>
    <w:rsid w:val="007450AE"/>
    <w:rsid w:val="00753123"/>
    <w:rsid w:val="00760A63"/>
    <w:rsid w:val="007761AA"/>
    <w:rsid w:val="00776B1F"/>
    <w:rsid w:val="007847B2"/>
    <w:rsid w:val="00784E5C"/>
    <w:rsid w:val="007862E2"/>
    <w:rsid w:val="00791E98"/>
    <w:rsid w:val="00796356"/>
    <w:rsid w:val="007B78F0"/>
    <w:rsid w:val="007C2160"/>
    <w:rsid w:val="007C3F66"/>
    <w:rsid w:val="007C51BE"/>
    <w:rsid w:val="007D06D5"/>
    <w:rsid w:val="007D1DD4"/>
    <w:rsid w:val="007D2996"/>
    <w:rsid w:val="007E2C71"/>
    <w:rsid w:val="007E7F0E"/>
    <w:rsid w:val="007F1483"/>
    <w:rsid w:val="007F3E07"/>
    <w:rsid w:val="007F4B02"/>
    <w:rsid w:val="00803048"/>
    <w:rsid w:val="00804372"/>
    <w:rsid w:val="00811801"/>
    <w:rsid w:val="00822ADC"/>
    <w:rsid w:val="00831B0C"/>
    <w:rsid w:val="0084503B"/>
    <w:rsid w:val="008451C5"/>
    <w:rsid w:val="0085561F"/>
    <w:rsid w:val="008566FC"/>
    <w:rsid w:val="00856E59"/>
    <w:rsid w:val="00863307"/>
    <w:rsid w:val="008714AA"/>
    <w:rsid w:val="00871DB0"/>
    <w:rsid w:val="00872DA1"/>
    <w:rsid w:val="008771C1"/>
    <w:rsid w:val="00877A80"/>
    <w:rsid w:val="00877EF8"/>
    <w:rsid w:val="008833AE"/>
    <w:rsid w:val="00885BD2"/>
    <w:rsid w:val="008A290D"/>
    <w:rsid w:val="008A2ED5"/>
    <w:rsid w:val="008A4400"/>
    <w:rsid w:val="008D3B74"/>
    <w:rsid w:val="008D3D84"/>
    <w:rsid w:val="008D5F0F"/>
    <w:rsid w:val="008E3AC1"/>
    <w:rsid w:val="008E4A24"/>
    <w:rsid w:val="008F1077"/>
    <w:rsid w:val="008F2710"/>
    <w:rsid w:val="008F4A14"/>
    <w:rsid w:val="008F4DC2"/>
    <w:rsid w:val="008F545F"/>
    <w:rsid w:val="00900210"/>
    <w:rsid w:val="00905F15"/>
    <w:rsid w:val="0090723A"/>
    <w:rsid w:val="009333ED"/>
    <w:rsid w:val="00940D48"/>
    <w:rsid w:val="0097266F"/>
    <w:rsid w:val="00974B70"/>
    <w:rsid w:val="00975D9B"/>
    <w:rsid w:val="00977166"/>
    <w:rsid w:val="009901CA"/>
    <w:rsid w:val="009912AB"/>
    <w:rsid w:val="00992654"/>
    <w:rsid w:val="009B647C"/>
    <w:rsid w:val="009C12F3"/>
    <w:rsid w:val="009D1DE2"/>
    <w:rsid w:val="009D5498"/>
    <w:rsid w:val="009E3B11"/>
    <w:rsid w:val="009E5D16"/>
    <w:rsid w:val="009E6B80"/>
    <w:rsid w:val="00A0247C"/>
    <w:rsid w:val="00A0713A"/>
    <w:rsid w:val="00A12EFB"/>
    <w:rsid w:val="00A156F1"/>
    <w:rsid w:val="00A240E3"/>
    <w:rsid w:val="00A317BE"/>
    <w:rsid w:val="00A4665F"/>
    <w:rsid w:val="00A540E1"/>
    <w:rsid w:val="00A621BE"/>
    <w:rsid w:val="00A62AB4"/>
    <w:rsid w:val="00A65EB5"/>
    <w:rsid w:val="00A741B1"/>
    <w:rsid w:val="00A7663B"/>
    <w:rsid w:val="00A84650"/>
    <w:rsid w:val="00A9799F"/>
    <w:rsid w:val="00AA1C79"/>
    <w:rsid w:val="00AA2925"/>
    <w:rsid w:val="00AA5627"/>
    <w:rsid w:val="00AB0758"/>
    <w:rsid w:val="00AB31A1"/>
    <w:rsid w:val="00AB7E81"/>
    <w:rsid w:val="00AC1976"/>
    <w:rsid w:val="00AC3E1E"/>
    <w:rsid w:val="00AC4314"/>
    <w:rsid w:val="00AD5122"/>
    <w:rsid w:val="00AD531D"/>
    <w:rsid w:val="00AE69BB"/>
    <w:rsid w:val="00AE7431"/>
    <w:rsid w:val="00AF2EAA"/>
    <w:rsid w:val="00AF2F31"/>
    <w:rsid w:val="00B04281"/>
    <w:rsid w:val="00B273B5"/>
    <w:rsid w:val="00B44010"/>
    <w:rsid w:val="00B45A35"/>
    <w:rsid w:val="00B54AB3"/>
    <w:rsid w:val="00B57A74"/>
    <w:rsid w:val="00B60E37"/>
    <w:rsid w:val="00B67D77"/>
    <w:rsid w:val="00B714AD"/>
    <w:rsid w:val="00B71FDD"/>
    <w:rsid w:val="00B827E7"/>
    <w:rsid w:val="00B874EA"/>
    <w:rsid w:val="00B920A8"/>
    <w:rsid w:val="00B959D1"/>
    <w:rsid w:val="00BA02D9"/>
    <w:rsid w:val="00BA627F"/>
    <w:rsid w:val="00BB0CDF"/>
    <w:rsid w:val="00BB2E5A"/>
    <w:rsid w:val="00BB35FF"/>
    <w:rsid w:val="00BC0C74"/>
    <w:rsid w:val="00BC517B"/>
    <w:rsid w:val="00BD072C"/>
    <w:rsid w:val="00BD32F1"/>
    <w:rsid w:val="00BE004F"/>
    <w:rsid w:val="00BF4A7F"/>
    <w:rsid w:val="00BF6E53"/>
    <w:rsid w:val="00C01887"/>
    <w:rsid w:val="00C05DD7"/>
    <w:rsid w:val="00C078BF"/>
    <w:rsid w:val="00C1285A"/>
    <w:rsid w:val="00C12D39"/>
    <w:rsid w:val="00C147F7"/>
    <w:rsid w:val="00C22CF1"/>
    <w:rsid w:val="00C2334D"/>
    <w:rsid w:val="00C306C3"/>
    <w:rsid w:val="00C36F41"/>
    <w:rsid w:val="00C77C69"/>
    <w:rsid w:val="00C80ECD"/>
    <w:rsid w:val="00C83251"/>
    <w:rsid w:val="00C8760B"/>
    <w:rsid w:val="00C934F4"/>
    <w:rsid w:val="00C9382A"/>
    <w:rsid w:val="00C94864"/>
    <w:rsid w:val="00C9640B"/>
    <w:rsid w:val="00CA0A0A"/>
    <w:rsid w:val="00CA4E07"/>
    <w:rsid w:val="00CA5280"/>
    <w:rsid w:val="00CA6043"/>
    <w:rsid w:val="00CB08C1"/>
    <w:rsid w:val="00CC0BFA"/>
    <w:rsid w:val="00CC4FC2"/>
    <w:rsid w:val="00CC5947"/>
    <w:rsid w:val="00CC66BA"/>
    <w:rsid w:val="00CE0EBC"/>
    <w:rsid w:val="00CE2A8C"/>
    <w:rsid w:val="00CE41F6"/>
    <w:rsid w:val="00CE5E51"/>
    <w:rsid w:val="00CF2BF9"/>
    <w:rsid w:val="00CF3A12"/>
    <w:rsid w:val="00CF7E06"/>
    <w:rsid w:val="00D06188"/>
    <w:rsid w:val="00D10932"/>
    <w:rsid w:val="00D1142D"/>
    <w:rsid w:val="00D227F9"/>
    <w:rsid w:val="00D27C4A"/>
    <w:rsid w:val="00D30A3B"/>
    <w:rsid w:val="00D43886"/>
    <w:rsid w:val="00D5168B"/>
    <w:rsid w:val="00D54652"/>
    <w:rsid w:val="00D627BA"/>
    <w:rsid w:val="00D65C63"/>
    <w:rsid w:val="00D66BE5"/>
    <w:rsid w:val="00D72AAB"/>
    <w:rsid w:val="00D816B1"/>
    <w:rsid w:val="00D86C45"/>
    <w:rsid w:val="00D93BDC"/>
    <w:rsid w:val="00D969F6"/>
    <w:rsid w:val="00D971F4"/>
    <w:rsid w:val="00DA062C"/>
    <w:rsid w:val="00DA6857"/>
    <w:rsid w:val="00DB1C7E"/>
    <w:rsid w:val="00DB63BE"/>
    <w:rsid w:val="00DC0A20"/>
    <w:rsid w:val="00DC1924"/>
    <w:rsid w:val="00DC7EA9"/>
    <w:rsid w:val="00DD06E2"/>
    <w:rsid w:val="00DD747B"/>
    <w:rsid w:val="00DE2461"/>
    <w:rsid w:val="00DF71FD"/>
    <w:rsid w:val="00E03629"/>
    <w:rsid w:val="00E04474"/>
    <w:rsid w:val="00E05EF2"/>
    <w:rsid w:val="00E06B16"/>
    <w:rsid w:val="00E2242E"/>
    <w:rsid w:val="00E30585"/>
    <w:rsid w:val="00E336DA"/>
    <w:rsid w:val="00E411F7"/>
    <w:rsid w:val="00E41A9D"/>
    <w:rsid w:val="00E42CEF"/>
    <w:rsid w:val="00E44D72"/>
    <w:rsid w:val="00E47DEC"/>
    <w:rsid w:val="00E54861"/>
    <w:rsid w:val="00E61303"/>
    <w:rsid w:val="00E62AE0"/>
    <w:rsid w:val="00E64F1D"/>
    <w:rsid w:val="00E8607E"/>
    <w:rsid w:val="00E9131A"/>
    <w:rsid w:val="00E96617"/>
    <w:rsid w:val="00EB1670"/>
    <w:rsid w:val="00ED2823"/>
    <w:rsid w:val="00EE3856"/>
    <w:rsid w:val="00EE4949"/>
    <w:rsid w:val="00EF2348"/>
    <w:rsid w:val="00EF5DE2"/>
    <w:rsid w:val="00EF61EA"/>
    <w:rsid w:val="00EF7DD7"/>
    <w:rsid w:val="00F03B7D"/>
    <w:rsid w:val="00F16004"/>
    <w:rsid w:val="00F24BD1"/>
    <w:rsid w:val="00F27A08"/>
    <w:rsid w:val="00F31F38"/>
    <w:rsid w:val="00F54D5B"/>
    <w:rsid w:val="00F60EF9"/>
    <w:rsid w:val="00F72915"/>
    <w:rsid w:val="00F85A11"/>
    <w:rsid w:val="00FA6064"/>
    <w:rsid w:val="00FA7F8B"/>
    <w:rsid w:val="00FB5889"/>
    <w:rsid w:val="00FD44C1"/>
    <w:rsid w:val="00FD5716"/>
    <w:rsid w:val="00FD775E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C46AF"/>
  <w15:chartTrackingRefBased/>
  <w15:docId w15:val="{9D1CC6E4-EACF-4933-8541-0884D837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40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33AE"/>
    <w:pPr>
      <w:keepNext/>
      <w:keepLines/>
      <w:tabs>
        <w:tab w:val="left" w:pos="720"/>
      </w:tabs>
      <w:spacing w:before="40"/>
      <w:outlineLvl w:val="2"/>
    </w:pPr>
    <w:rPr>
      <w:rFonts w:eastAsiaTheme="majorEastAsia" w:cs="Times New Roman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23"/>
    <w:pPr>
      <w:keepNext/>
      <w:keepLines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F23"/>
    <w:pPr>
      <w:keepNext/>
      <w:keepLines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440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33AE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6F2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F23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F61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E2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6BA"/>
    <w:rPr>
      <w:color w:val="605E5C"/>
      <w:shd w:val="clear" w:color="auto" w:fill="E1DFDD"/>
    </w:rPr>
  </w:style>
  <w:style w:type="paragraph" w:customStyle="1" w:styleId="item-home">
    <w:name w:val="item-home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eparator">
    <w:name w:val="separator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F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B35E0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480" w:firstLine="960"/>
    </w:pPr>
  </w:style>
  <w:style w:type="paragraph" w:styleId="TOC4">
    <w:name w:val="toc 4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720" w:firstLine="1440"/>
    </w:pPr>
  </w:style>
  <w:style w:type="paragraph" w:styleId="TOC5">
    <w:name w:val="toc 5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960" w:firstLine="1920"/>
    </w:pPr>
  </w:style>
  <w:style w:type="character" w:styleId="FollowedHyperlink">
    <w:name w:val="FollowedHyperlink"/>
    <w:basedOn w:val="DefaultParagraphFont"/>
    <w:uiPriority w:val="99"/>
    <w:semiHidden/>
    <w:unhideWhenUsed/>
    <w:rsid w:val="00531673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4190/EJEL.20.18.4.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APA-7th-Template-Graduate%20(14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738F-7BA4-474A-8375-979DBEA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APA-7th-Template-Graduate (14)</Template>
  <TotalTime>634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151</cp:revision>
  <cp:lastPrinted>2020-01-03T23:33:00Z</cp:lastPrinted>
  <dcterms:created xsi:type="dcterms:W3CDTF">2021-07-18T14:09:00Z</dcterms:created>
  <dcterms:modified xsi:type="dcterms:W3CDTF">2021-07-25T20:35:00Z</dcterms:modified>
</cp:coreProperties>
</file>